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宋体" w:eastAsia="黑体"/>
          <w:sz w:val="44"/>
          <w:szCs w:val="44"/>
        </w:rPr>
      </w:pPr>
      <w:r>
        <w:rPr>
          <w:rFonts w:ascii="宋体" w:eastAsia="黑体"/>
          <w:b w:val="0"/>
          <w:sz w:val="44"/>
          <w:szCs w:val="44"/>
        </w:rPr>
        <w:t>新疆水利水电科学研究院</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44"/>
          <w:szCs w:val="44"/>
        </w:rPr>
      </w:pPr>
      <w:r>
        <w:rPr>
          <w:rFonts w:ascii="黑体" w:eastAsia="黑体"/>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sz w:val="32"/>
          <w:szCs w:val="32"/>
        </w:rPr>
      </w:pPr>
      <w:r>
        <w:rPr>
          <w:rFonts w:ascii="黑体" w:eastAsia="黑体"/>
          <w:b/>
          <w:sz w:val="32"/>
          <w:szCs w:val="32"/>
        </w:rPr>
        <w:t xml:space="preserve">目  </w:t>
      </w:r>
      <w:r>
        <w:rPr>
          <w:rFonts w:hint="default" w:ascii="黑体" w:eastAsia="黑体"/>
          <w:b/>
          <w:sz w:val="32"/>
          <w:szCs w:val="32"/>
          <w:lang w:val="en-US"/>
        </w:rPr>
        <w:t xml:space="preserve"> </w:t>
      </w:r>
      <w:r>
        <w:rPr>
          <w:rFonts w:ascii="黑体" w:eastAsia="黑体"/>
          <w:b/>
          <w:sz w:val="32"/>
          <w:szCs w:val="32"/>
        </w:rPr>
        <w:t>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第一部分</w:t>
      </w:r>
      <w:r>
        <w:rPr>
          <w:rFonts w:hint="default" w:ascii="仿宋_GB2312" w:eastAsia="仿宋_GB2312"/>
          <w:b/>
          <w:sz w:val="32"/>
          <w:szCs w:val="32"/>
          <w:lang w:val="en-US"/>
        </w:rPr>
        <w:t xml:space="preserve"> </w:t>
      </w:r>
      <w:bookmarkStart w:id="0" w:name="_GoBack"/>
      <w:bookmarkEnd w:id="0"/>
      <w:r>
        <w:rPr>
          <w:rFonts w:ascii="仿宋_GB2312" w:eastAsia="仿宋_GB2312"/>
          <w:b/>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第二部分 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第三部分 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第四部分 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第一部分 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 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承担水战略、水资源、水安全、水生态、河湖生态保护与修复、跨境河流研究；承担区域水旱灾害发生机理与减灾技术研究；承担水利信息化应用研究；承担水工程质量检测、健康诊断与安全评价、清洁能源、新材料研发和推广应用研究；承担水力学、河流动力学、工程泥沙研究与应用研究；承担农村牧区水利技术、大中型灌区改造、盐碱地改良与微咸水利用技术研究应用；承担农业节水理论、设备技术研发及相关技术服务研究；承担大坝及工程安全监测设计施工及资料分析、工程性状评价及健康诊断及应用研究；承担水土保持与生态环境技术研究；承担水利水电科技成果转化工作；承担水利科技技术推广与科普、水文化、水宣传工作；承担水利工程技术咨询与技术服务工作；承办厅党组交办的其他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新疆水利水电科学研究院2024年度，实有人数218人，其中：在职人员127人，减少5人；离休人员1人，较上年无变化；退休人员90人，增加7人。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水利水电科学研究院无下属预算单位，下设15个科室，分别是：办公室、党群工作科(纪检室)、人事科、科研管理科、财务科、水利水电工程质量检测研究所(新疆水利水电材料工程技术研究中心)、大坝与工程安全监测技术研究所、水土保持与生态治理研究所、农牧水利研究所(新疆农业节水工程技术研究中心)、水文水资源研究所、水工河工研究所、水利信息化研究所、水旱灾害防御研究所(河湖研究中心)、科技成果转化与推广中心、水战略研究所(国际河流研究中心)。</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 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2024年度收入总计11,371.78万元，其中：本年收入合计10,639.81万元，使用非财政拨款结余（含专用结余）0.00万元，年初结转和结余731.97万元。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2024年度支出总计11,371.78万元，其中：本年支出合计7,734.06万元，结余分配2,668.86万元，年末结转和结余968.86万元。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增加1,704.72万元，增长17.63%，主要原因是：财政拨款收入增加在职人员艰苦边远津贴、人员岗位工资、薪级工资；事业收入是承担重大水利工程质量检测、安全监测、水旱灾害防御风险评估和验收等项目资金较上年有所增加；其他收入增加</w:t>
      </w:r>
      <w:r>
        <w:rPr>
          <w:rFonts w:hint="eastAsia" w:ascii="仿宋_GB2312" w:eastAsia="仿宋_GB2312"/>
          <w:b w:val="0"/>
          <w:sz w:val="32"/>
          <w:szCs w:val="32"/>
          <w:lang w:eastAsia="zh-CN"/>
        </w:rPr>
        <w:t>“</w:t>
      </w:r>
      <w:r>
        <w:rPr>
          <w:rFonts w:ascii="仿宋_GB2312" w:eastAsia="仿宋_GB2312"/>
          <w:b w:val="0"/>
          <w:sz w:val="32"/>
          <w:szCs w:val="32"/>
        </w:rPr>
        <w:t>十四五</w:t>
      </w:r>
      <w:r>
        <w:rPr>
          <w:rFonts w:hint="eastAsia" w:ascii="仿宋_GB2312" w:eastAsia="仿宋_GB2312"/>
          <w:b w:val="0"/>
          <w:sz w:val="32"/>
          <w:szCs w:val="32"/>
          <w:lang w:eastAsia="zh-CN"/>
        </w:rPr>
        <w:t>”</w:t>
      </w:r>
      <w:r>
        <w:rPr>
          <w:rFonts w:ascii="仿宋_GB2312" w:eastAsia="仿宋_GB2312"/>
          <w:b w:val="0"/>
          <w:sz w:val="32"/>
          <w:szCs w:val="32"/>
        </w:rPr>
        <w:t>自治区重大专项、水利科技专项等专项课题，课题收入较上年有所增长。</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10,639.81万元，其中：财政拨款收入3,576.79万元,占33.62%；上级补助收入0.00万元,占0.00%；事业收入5,234.03万元，占49.19%；经营收入0.00万元,占0.00%；附属单位上缴收入0.00万元，占0.00%；其他收入1,828.99万元，占17.19%。</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本年支出7,734.06万元，其中：基本支出5,921.42万元，占76.56%；项目支出1,812.64万元，占23.44%；上缴上级支出0.00万元，占0.00%；经营支出0.00万元，占0.00%；对附属单位补助支出0.00万元，占0.00%。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3,576.79万元，其中：年初财政拨款结转和结余0.00万元，本年财政拨款收入3,576.79万元。财政拨款支出总计3,576.79万元，其中：年末财政拨款结转和结余0.00万元，本年财政拨款支出3,576.79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财政拨款收入支出总体与上年相比，减少218.08万元，下降5.75%，主要原因是：</w:t>
      </w:r>
      <w:r>
        <w:rPr>
          <w:rFonts w:hint="eastAsia" w:ascii="仿宋_GB2312" w:eastAsia="仿宋_GB2312"/>
          <w:b w:val="0"/>
          <w:sz w:val="32"/>
          <w:szCs w:val="32"/>
          <w:lang w:eastAsia="zh-CN"/>
        </w:rPr>
        <w:t>本年承担</w:t>
      </w:r>
      <w:r>
        <w:rPr>
          <w:rFonts w:ascii="仿宋_GB2312" w:eastAsia="仿宋_GB2312"/>
          <w:b w:val="0"/>
          <w:sz w:val="32"/>
          <w:szCs w:val="32"/>
        </w:rPr>
        <w:t>自治区水利科技专项</w:t>
      </w:r>
      <w:r>
        <w:rPr>
          <w:rFonts w:hint="eastAsia" w:ascii="仿宋_GB2312" w:eastAsia="仿宋_GB2312"/>
          <w:b w:val="0"/>
          <w:sz w:val="32"/>
          <w:szCs w:val="32"/>
          <w:lang w:eastAsia="zh-CN"/>
        </w:rPr>
        <w:t>项目减少</w:t>
      </w:r>
      <w:r>
        <w:rPr>
          <w:rFonts w:ascii="仿宋_GB2312" w:eastAsia="仿宋_GB2312"/>
          <w:b w:val="0"/>
          <w:sz w:val="32"/>
          <w:szCs w:val="32"/>
        </w:rPr>
        <w:t>。与年初预算相比，年初预算数3,009.05万元，决算数3,576.79万元，预决算差异率18.87%，主要原因是：</w:t>
      </w:r>
      <w:r>
        <w:rPr>
          <w:rFonts w:hint="eastAsia" w:ascii="仿宋_GB2312" w:eastAsia="仿宋_GB2312"/>
          <w:b w:val="0"/>
          <w:sz w:val="32"/>
          <w:szCs w:val="32"/>
          <w:lang w:eastAsia="zh-CN"/>
        </w:rPr>
        <w:t>本年追加结亲交通费、丧葬费抚恤金等基本支出及财政拨款项目支出</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2024年度一般公共预算财政拨款支出3,576.79万元，占本年支出合计的46.25%。与上年相比，减少218.08万元，下降5.75%，主要原因是：</w:t>
      </w:r>
      <w:r>
        <w:rPr>
          <w:rFonts w:hint="eastAsia" w:ascii="仿宋_GB2312" w:eastAsia="仿宋_GB2312"/>
          <w:b w:val="0"/>
          <w:sz w:val="32"/>
          <w:szCs w:val="32"/>
          <w:lang w:eastAsia="zh-CN"/>
        </w:rPr>
        <w:t>本年承担</w:t>
      </w:r>
      <w:r>
        <w:rPr>
          <w:rFonts w:ascii="仿宋_GB2312" w:eastAsia="仿宋_GB2312"/>
          <w:b w:val="0"/>
          <w:sz w:val="32"/>
          <w:szCs w:val="32"/>
        </w:rPr>
        <w:t>自治区水利科技专项</w:t>
      </w:r>
      <w:r>
        <w:rPr>
          <w:rFonts w:hint="eastAsia" w:ascii="仿宋_GB2312" w:eastAsia="仿宋_GB2312"/>
          <w:b w:val="0"/>
          <w:sz w:val="32"/>
          <w:szCs w:val="32"/>
          <w:lang w:eastAsia="zh-CN"/>
        </w:rPr>
        <w:t>项目减少</w:t>
      </w:r>
      <w:r>
        <w:rPr>
          <w:rFonts w:ascii="仿宋_GB2312" w:eastAsia="仿宋_GB2312"/>
          <w:b w:val="0"/>
          <w:sz w:val="32"/>
          <w:szCs w:val="32"/>
        </w:rPr>
        <w:t>。与年初预算相比，年初预算数3,009.05万元，决算数3,576.79万元，预决算差异率18.87%，主要原因是：</w:t>
      </w:r>
      <w:r>
        <w:rPr>
          <w:rFonts w:hint="eastAsia" w:ascii="仿宋_GB2312" w:eastAsia="仿宋_GB2312"/>
          <w:b w:val="0"/>
          <w:sz w:val="32"/>
          <w:szCs w:val="32"/>
          <w:lang w:eastAsia="zh-CN"/>
        </w:rPr>
        <w:t>本年追加结亲交通费、丧葬费抚恤金等基本支出及财政拨款项目支出</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科学技术支出（类）3,539.79万元，占98.97%。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农林水支出（类）37.00万元，占1.03%。</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科学技术支出（类）基础研究（款）自然科学基金（项）：支出决算数为0.00万元，比上年决算减少107.00万元，下降100.00%，主要原因是：2023年我单位承担自治区水利厅部署的新疆农业高效用水及现代化灌区发展关键技术研究项目共计金额107.00万元，2024年我单位没有承担基础性研究自然科学基金类项目。</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科学技术支出（类）基础研究（款）科技人才队伍建设（项）：支出决算数为200.00万元，比上年决算增加37.00万元，增长22.70%，主要原因是：2023年我单位共承担4个科技项目,分别为：新疆农业高效用水及现代化灌区发展关键技术研究,低能耗耐腐蚀清洗过滤器的研发与推广，新疆灌区末级渠系精准量测水综合技术及设备研发，自治区天山英才计划，共计金额163.00万元，2024年我院承担科技人才队伍建设项目，项目名称为：天山英才培养计划，共计金额200.00万，较去年有所上升。</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3、科学技术支出（类）应用研究（款）机构运行（项）：支出决算数为3,339.79万元，比上年决算增加184.92万元，增长5.86%，主要原因是：2024年较2023年增加了在职人员艰苦边远津贴、人员岗位工资、薪级工资。</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4、农林水支出（类）水利（款）水资源节约管理与保护（项）：支出决算数为37.00万元，比上年决算增加7.00万元，增长23.33%，主要原因是：2023年我单位新疆实行最严格水资源管理制度考核技术支撑项目30.00万元</w:t>
      </w:r>
      <w:r>
        <w:rPr>
          <w:rFonts w:hint="default" w:ascii="仿宋_GB2312" w:eastAsia="仿宋_GB2312"/>
          <w:b w:val="0"/>
          <w:sz w:val="32"/>
          <w:szCs w:val="32"/>
          <w:lang w:val="en-US"/>
        </w:rPr>
        <w:t>,</w:t>
      </w:r>
      <w:r>
        <w:rPr>
          <w:rFonts w:ascii="仿宋_GB2312" w:eastAsia="仿宋_GB2312"/>
          <w:b w:val="0"/>
          <w:sz w:val="32"/>
          <w:szCs w:val="32"/>
        </w:rPr>
        <w:t>2024年承担智力援疆创新拓展人才计划37.00万，</w:t>
      </w:r>
      <w:r>
        <w:rPr>
          <w:rFonts w:hint="eastAsia" w:ascii="仿宋_GB2312" w:eastAsia="仿宋_GB2312"/>
          <w:b w:val="0"/>
          <w:sz w:val="32"/>
          <w:szCs w:val="32"/>
          <w:lang w:eastAsia="zh-CN"/>
        </w:rPr>
        <w:t>均计入</w:t>
      </w:r>
      <w:r>
        <w:rPr>
          <w:rFonts w:ascii="仿宋_GB2312" w:eastAsia="仿宋_GB2312"/>
          <w:b w:val="0"/>
          <w:sz w:val="32"/>
          <w:szCs w:val="32"/>
        </w:rPr>
        <w:t>水资源节约管理与保护</w:t>
      </w:r>
      <w:r>
        <w:rPr>
          <w:rFonts w:hint="eastAsia" w:ascii="仿宋_GB2312" w:eastAsia="仿宋_GB2312"/>
          <w:b w:val="0"/>
          <w:sz w:val="32"/>
          <w:szCs w:val="32"/>
          <w:lang w:eastAsia="zh-CN"/>
        </w:rPr>
        <w:t>项，</w:t>
      </w:r>
      <w:r>
        <w:rPr>
          <w:rFonts w:ascii="仿宋_GB2312" w:eastAsia="仿宋_GB2312"/>
          <w:b w:val="0"/>
          <w:sz w:val="32"/>
          <w:szCs w:val="32"/>
        </w:rPr>
        <w:t>较去年有所增加。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5、农林水支出（类）水利（款）水利技术推广（项）：支出决算数为0.00万元，比上年决算减少340.00万元，下降100.00%，主要原因是：2023年水科院承担自治区水利科技专项，经费共计340.00万元，2024年我单位未安排农林水支出（类）水利（款）水利技术推广项目。</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3,339.79万元，其中：人员经费3,131.98万元，包括：基本工资、津贴补贴、奖金、绩效工资、机关事业单位基本养老保险缴费、职业年金缴费、职工基本医疗保险缴费、公务员医疗补助缴费、其他社会保障缴费、住房公积金、离休费、退休费、抚恤金和其他对个人和家庭的补助。</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公用经费207.81万元，包括：办公费、水费、电费、邮电费、取暖费、差旅费、工会经费、福利费、其他交通费用和其他商品和服务支出。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w:t>
      </w:r>
      <w:r>
        <w:rPr>
          <w:rFonts w:hint="eastAsia" w:ascii="黑体" w:eastAsia="黑体"/>
          <w:b w:val="0"/>
          <w:sz w:val="32"/>
          <w:szCs w:val="32"/>
          <w:lang w:eastAsia="zh-CN"/>
        </w:rPr>
        <w:t>“</w:t>
      </w:r>
      <w:r>
        <w:rPr>
          <w:rFonts w:ascii="黑体" w:eastAsia="黑体"/>
          <w:b w:val="0"/>
          <w:sz w:val="32"/>
          <w:szCs w:val="32"/>
        </w:rPr>
        <w:t>三公</w:t>
      </w:r>
      <w:r>
        <w:rPr>
          <w:rFonts w:hint="eastAsia" w:ascii="黑体" w:eastAsia="黑体"/>
          <w:b w:val="0"/>
          <w:sz w:val="32"/>
          <w:szCs w:val="32"/>
          <w:lang w:eastAsia="zh-CN"/>
        </w:rPr>
        <w:t>”</w:t>
      </w:r>
      <w:r>
        <w:rPr>
          <w:rFonts w:ascii="黑体" w:eastAsia="黑体"/>
          <w:b w:val="0"/>
          <w:sz w:val="32"/>
          <w:szCs w:val="32"/>
        </w:rPr>
        <w:t>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经费支出0.00万元，比上年减少2.86万元，下降100%，主要原因是：2023年我单位公务用车运行维护费支出2.86万元，2024年我单位严格控制</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未安排公务用车运行维护费支出。其中：因公出国（境）费支出0.00万元,占0.00%，与上年相比无变化，主要原因是：我单位2023年度和2024年度均未安排因公出国（境）费；公务用车购置及运行维护费支出0.00万元，占0.00%，比上年减少2.86万元，下降100%，主要原因是：我单位2023年度安排公务用车运行维护费2.86万元，2024年度未安排公务用车购置及车辆维护费用；公务接待费支出0.00万元，占0.00%，与上年相比无变化，主要原因是：我单位2023年度和2024年度均未安排公务接待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因公出国（境）费支出0.00万元，开支内容包括我单位无因公出国（境）费。单位全年安排的因公出国（境）团组0个，因公出国（境）0人次。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我单位未发生车辆运行维护费用。公务用车购置数0辆，公务用车保有量0辆。国有资产占用情况中固定资产车辆10辆，与公务用车保有量差异原因是：单位公务用车运行维护费用支出用我单位自有资金。因此，公务用车保有量和单位固定资产车辆存在差异。</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公务接待费0.00万元，开支内容包括我单位未发生公务接待费。单位全年安排的国内公务接待0批次，0人次。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经费支出全年预算数0.00万元，决算数0.00万元，预决算差异率0.00%，主要原因是：我单位</w:t>
      </w:r>
      <w:r>
        <w:rPr>
          <w:rFonts w:hint="eastAsia" w:ascii="仿宋_GB2312" w:eastAsia="仿宋_GB2312"/>
          <w:b w:val="0"/>
          <w:sz w:val="32"/>
          <w:szCs w:val="32"/>
          <w:lang w:eastAsia="zh-CN"/>
        </w:rPr>
        <w:t>未发生“</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其中：因公出国（境）费全年预算数0.00万元，决算数0.00万元，预决算差异率0.00%，主要原因是：我单位未发生因公出国（境）费用；公务用车购置费全年预算数0.00万元，决算数0.00万元，预决算差异率0.00%，主要原因是：我单位</w:t>
      </w:r>
      <w:r>
        <w:rPr>
          <w:rFonts w:hint="eastAsia" w:ascii="仿宋_GB2312" w:eastAsia="仿宋_GB2312"/>
          <w:b w:val="0"/>
          <w:sz w:val="32"/>
          <w:szCs w:val="32"/>
          <w:lang w:eastAsia="zh-CN"/>
        </w:rPr>
        <w:t>未发生</w:t>
      </w:r>
      <w:r>
        <w:rPr>
          <w:rFonts w:ascii="仿宋_GB2312" w:eastAsia="仿宋_GB2312"/>
          <w:b w:val="0"/>
          <w:sz w:val="32"/>
          <w:szCs w:val="32"/>
        </w:rPr>
        <w:t>公务用车购置费；公务用车运行维护费全年预算数0.00万元，决算数0.00万元，预决算差异率0.00%，主要原因是：我单位未发生公务用车运行维护费；公务接待费全年预算数0.00万元，决算数0.00万元，预决算差异率0.00%，主要原因是：我单位未发生公务接待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2024年度新疆水利水电科学研究院单位（事业单位）公用经费支出207.81万元，比上年增加16.60万元，增长8.68%，主要原因是：增加人员工资福利支出、差旅费、办公费、福利费、工会经费的支出。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2024年度政府采购支出总额204.03万元，其中：政府采购货物支出200.10万元、政府采购工程支出0.00万元、政府采购服务支出3.94万元。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授予中小企业合同金额204.03万元，占政府采购支出总额的100.00%，其中：授予小微企业合同金额204.03万元，占政府采购支出总额的100.00%。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10,213.87平方米，价值167.10万元。车辆10辆，价值256.88万元，其中：副部（省）级及以上领导用车0辆、主要负责人用车0辆、机要通信用车0辆、应急保障用车0辆、执法执勤用车0辆、特种专业技术用车0辆、离退休干部服务用车0辆、其他用车10辆，其他用车主要是：用于野外勘查、测量越野车7辆、小轿车2辆、载货汽车1辆;单价100万元（含）以上设备（不含车辆）2台。</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根据预算绩效管理要求，本单位2024年度预算绩效评价项目2个，全年预算数2,</w:t>
      </w:r>
      <w:r>
        <w:rPr>
          <w:rFonts w:hint="default" w:ascii="仿宋_GB2312" w:eastAsia="仿宋_GB2312"/>
          <w:b w:val="0"/>
          <w:sz w:val="32"/>
          <w:szCs w:val="32"/>
          <w:lang w:val="en-US"/>
        </w:rPr>
        <w:t>9</w:t>
      </w:r>
      <w:r>
        <w:rPr>
          <w:rFonts w:ascii="仿宋_GB2312" w:eastAsia="仿宋_GB2312"/>
          <w:b w:val="0"/>
          <w:sz w:val="32"/>
          <w:szCs w:val="32"/>
        </w:rPr>
        <w:t>00.00万元，全年执行数2,</w:t>
      </w:r>
      <w:r>
        <w:rPr>
          <w:rFonts w:hint="default" w:ascii="仿宋_GB2312" w:eastAsia="仿宋_GB2312"/>
          <w:b w:val="0"/>
          <w:sz w:val="32"/>
          <w:szCs w:val="32"/>
          <w:lang w:val="en-US"/>
        </w:rPr>
        <w:t>9</w:t>
      </w:r>
      <w:r>
        <w:rPr>
          <w:rFonts w:ascii="仿宋_GB2312" w:eastAsia="仿宋_GB2312"/>
          <w:b w:val="0"/>
          <w:sz w:val="32"/>
          <w:szCs w:val="32"/>
        </w:rPr>
        <w:t>00.00万元。预算绩效管理取得的成效：</w:t>
      </w:r>
      <w:r>
        <w:rPr>
          <w:rFonts w:hint="eastAsia" w:ascii="仿宋_GB2312" w:eastAsia="仿宋_GB2312"/>
          <w:b w:val="0"/>
          <w:sz w:val="32"/>
          <w:szCs w:val="32"/>
          <w:lang w:eastAsia="zh-CN"/>
        </w:rPr>
        <w:t>一是</w:t>
      </w:r>
      <w:r>
        <w:rPr>
          <w:rFonts w:ascii="仿宋_GB2312" w:eastAsia="仿宋_GB2312"/>
          <w:b w:val="0"/>
          <w:sz w:val="32"/>
          <w:szCs w:val="32"/>
        </w:rPr>
        <w:t>能够及时总结项目管理经验，进而完善项目管理办法。</w:t>
      </w:r>
      <w:r>
        <w:rPr>
          <w:rFonts w:hint="eastAsia" w:ascii="仿宋_GB2312" w:eastAsia="仿宋_GB2312"/>
          <w:b w:val="0"/>
          <w:sz w:val="32"/>
          <w:szCs w:val="32"/>
          <w:lang w:eastAsia="zh-CN"/>
        </w:rPr>
        <w:t>二是</w:t>
      </w:r>
      <w:r>
        <w:rPr>
          <w:rFonts w:ascii="仿宋_GB2312" w:eastAsia="仿宋_GB2312"/>
          <w:b w:val="0"/>
          <w:sz w:val="32"/>
          <w:szCs w:val="32"/>
        </w:rPr>
        <w:t>评价过程中发现的问题，将促使项目承担单位认真整改，及时调整和完善单位的工作计划与绩效目标，进一步加强项目管理。发现的问题及原因：</w:t>
      </w:r>
      <w:r>
        <w:rPr>
          <w:rFonts w:hint="eastAsia" w:ascii="仿宋_GB2312" w:eastAsia="仿宋_GB2312"/>
          <w:b w:val="0"/>
          <w:sz w:val="32"/>
          <w:szCs w:val="32"/>
          <w:lang w:eastAsia="zh-CN"/>
        </w:rPr>
        <w:t>一是</w:t>
      </w:r>
      <w:r>
        <w:rPr>
          <w:rFonts w:ascii="仿宋_GB2312" w:eastAsia="仿宋_GB2312"/>
          <w:b w:val="0"/>
          <w:sz w:val="32"/>
          <w:szCs w:val="32"/>
        </w:rPr>
        <w:t>预算结构依赖自有资金：财政拨款仅覆盖人员及部分公用经费，大部分公用经费和咨询服务项目经费需自筹，当前委托咨询项目市场环境情况日趋复杂，单位日常运行维护成本逐年上涨，存在资金稳定性风险。</w:t>
      </w:r>
      <w:r>
        <w:rPr>
          <w:rFonts w:hint="eastAsia" w:ascii="仿宋_GB2312" w:eastAsia="仿宋_GB2312"/>
          <w:b w:val="0"/>
          <w:sz w:val="32"/>
          <w:szCs w:val="32"/>
          <w:lang w:eastAsia="zh-CN"/>
        </w:rPr>
        <w:t>二是</w:t>
      </w:r>
      <w:r>
        <w:rPr>
          <w:rFonts w:ascii="仿宋_GB2312" w:eastAsia="仿宋_GB2312"/>
          <w:b w:val="0"/>
          <w:sz w:val="32"/>
          <w:szCs w:val="32"/>
        </w:rPr>
        <w:t>支出细项优化存在空间：维修费、业务委托费占比较高，成本支出不够细化优化，需进一步加强成本控制。加强项目投标的合同审核，精确计算投入产出，有效减少外委占比，建立健全自主承担项目的能力。逐步优化盘活单位资产和材料管理，做到量入为出，降本增效。</w:t>
      </w:r>
      <w:r>
        <w:rPr>
          <w:rFonts w:hint="eastAsia" w:ascii="仿宋_GB2312" w:eastAsia="仿宋_GB2312"/>
          <w:b w:val="0"/>
          <w:sz w:val="32"/>
          <w:szCs w:val="32"/>
          <w:lang w:eastAsia="zh-CN"/>
        </w:rPr>
        <w:t>三是</w:t>
      </w:r>
      <w:r>
        <w:rPr>
          <w:rFonts w:ascii="仿宋_GB2312" w:eastAsia="仿宋_GB2312"/>
          <w:b w:val="0"/>
          <w:sz w:val="32"/>
          <w:szCs w:val="32"/>
        </w:rPr>
        <w:t>长期发展支撑不足：高职称人才与科研需求匹配度待提升，技术储备需强化。与疆内大型科研院所存在一定差距，存在引进人才困难，培养人才机制不健全的问题。需要进一步要加大力度引进人才，立足本地院所的优势，重点培育例如微咸水节水灌溉等本地优势领域，形成独特的科研优势，提高市场占有率和咨询服务的针对性和有效性。</w:t>
      </w:r>
      <w:r>
        <w:rPr>
          <w:rFonts w:hint="eastAsia" w:ascii="仿宋_GB2312" w:eastAsia="仿宋_GB2312"/>
          <w:b w:val="0"/>
          <w:sz w:val="32"/>
          <w:szCs w:val="32"/>
          <w:lang w:eastAsia="zh-CN"/>
        </w:rPr>
        <w:t>四是</w:t>
      </w:r>
      <w:r>
        <w:rPr>
          <w:rFonts w:ascii="仿宋_GB2312" w:eastAsia="仿宋_GB2312"/>
          <w:b w:val="0"/>
          <w:sz w:val="32"/>
          <w:szCs w:val="32"/>
        </w:rPr>
        <w:t>绩效管理存在滞后性：因为我单位为科研事业单位，在承接国家和自治区各项科研项目的同时，对外提供咨询技术服务，受限于科研项目立项和资金下达时间的不确定性，以及咨询项目市场变化因素，各项收支存在较大不确定性。年初填报的预算难以精确覆盖实际收支，绩效管理存在一定滞后性。下一步改进措施：</w:t>
      </w:r>
      <w:r>
        <w:rPr>
          <w:rFonts w:hint="eastAsia" w:ascii="仿宋_GB2312" w:eastAsia="仿宋_GB2312"/>
          <w:b w:val="0"/>
          <w:sz w:val="32"/>
          <w:szCs w:val="32"/>
          <w:lang w:eastAsia="zh-CN"/>
        </w:rPr>
        <w:t>一是</w:t>
      </w:r>
      <w:r>
        <w:rPr>
          <w:rFonts w:ascii="仿宋_GB2312" w:eastAsia="仿宋_GB2312"/>
          <w:b w:val="0"/>
          <w:sz w:val="32"/>
          <w:szCs w:val="32"/>
        </w:rPr>
        <w:t>多元化资金来源：大力申请专项科研财政补助，探索产学研合作资金渠道。通过以科研带咨询的单位特色条件优势，在降低单位咨询项目成本的同时，提高科研项目产出效率。实现单位咨询和科研项目两条腿走路，推广</w:t>
      </w:r>
      <w:r>
        <w:rPr>
          <w:rFonts w:hint="eastAsia" w:ascii="仿宋_GB2312" w:eastAsia="仿宋_GB2312"/>
          <w:b w:val="0"/>
          <w:sz w:val="32"/>
          <w:szCs w:val="32"/>
          <w:lang w:eastAsia="zh-CN"/>
        </w:rPr>
        <w:t>“</w:t>
      </w:r>
      <w:r>
        <w:rPr>
          <w:rFonts w:ascii="仿宋_GB2312" w:eastAsia="仿宋_GB2312"/>
          <w:b w:val="0"/>
          <w:sz w:val="32"/>
          <w:szCs w:val="32"/>
        </w:rPr>
        <w:t>1+1&gt;2</w:t>
      </w:r>
      <w:r>
        <w:rPr>
          <w:rFonts w:hint="eastAsia" w:ascii="仿宋_GB2312" w:eastAsia="仿宋_GB2312"/>
          <w:b w:val="0"/>
          <w:sz w:val="32"/>
          <w:szCs w:val="32"/>
          <w:lang w:eastAsia="zh-CN"/>
        </w:rPr>
        <w:t>”</w:t>
      </w:r>
      <w:r>
        <w:rPr>
          <w:rFonts w:ascii="仿宋_GB2312" w:eastAsia="仿宋_GB2312"/>
          <w:b w:val="0"/>
          <w:sz w:val="32"/>
          <w:szCs w:val="32"/>
        </w:rPr>
        <w:t>的战略举措，促使单位咨询和科研项目齐抓共管，实现共建双赢，不断提高单位社会公益性科研产出和咨询收入。</w:t>
      </w:r>
      <w:r>
        <w:rPr>
          <w:rFonts w:hint="eastAsia" w:ascii="仿宋_GB2312" w:eastAsia="仿宋_GB2312"/>
          <w:b w:val="0"/>
          <w:sz w:val="32"/>
          <w:szCs w:val="32"/>
          <w:lang w:eastAsia="zh-CN"/>
        </w:rPr>
        <w:t>二是</w:t>
      </w:r>
      <w:r>
        <w:rPr>
          <w:rFonts w:ascii="仿宋_GB2312" w:eastAsia="仿宋_GB2312"/>
          <w:b w:val="0"/>
          <w:sz w:val="32"/>
          <w:szCs w:val="32"/>
        </w:rPr>
        <w:t>精细化支出管理：以单位下设业务部门为核算单位，建立项目成本核算机制，并纳入年底绩效考核安排，督促各部门紧抓降本增效的绩效工作要求，盘活用好单位各项资产。严格规划委托业务费的支出，项目投标前要认真谋划，充分考虑本单位各项业务承接条件，最大限度地承担项目主体工作，将项目资金最大限度地归于本单位收益。合理安排单位集中采购，公用的基建和维修项目，量入为出，做好前期规划设计的概算，杜绝出现过度投资，投入与产出不匹配的情况发生，同时也要立足长远，能省就省，但该花也要花。集中资金办大事，系统性优化各项支出结构。</w:t>
      </w:r>
      <w:r>
        <w:rPr>
          <w:rFonts w:hint="eastAsia" w:ascii="仿宋_GB2312" w:eastAsia="仿宋_GB2312"/>
          <w:b w:val="0"/>
          <w:sz w:val="32"/>
          <w:szCs w:val="32"/>
          <w:lang w:eastAsia="zh-CN"/>
        </w:rPr>
        <w:t>三是</w:t>
      </w:r>
      <w:r>
        <w:rPr>
          <w:rFonts w:ascii="仿宋_GB2312" w:eastAsia="仿宋_GB2312"/>
          <w:b w:val="0"/>
          <w:sz w:val="32"/>
          <w:szCs w:val="32"/>
        </w:rPr>
        <w:t>人才梯队建设：加大</w:t>
      </w:r>
      <w:r>
        <w:rPr>
          <w:rFonts w:hint="eastAsia" w:ascii="仿宋_GB2312" w:eastAsia="仿宋_GB2312"/>
          <w:b w:val="0"/>
          <w:sz w:val="32"/>
          <w:szCs w:val="32"/>
          <w:lang w:eastAsia="zh-CN"/>
        </w:rPr>
        <w:t>“</w:t>
      </w:r>
      <w:r>
        <w:rPr>
          <w:rFonts w:ascii="仿宋_GB2312" w:eastAsia="仿宋_GB2312"/>
          <w:b w:val="0"/>
          <w:sz w:val="32"/>
          <w:szCs w:val="32"/>
        </w:rPr>
        <w:t>天山英才</w:t>
      </w:r>
      <w:r>
        <w:rPr>
          <w:rFonts w:hint="eastAsia" w:ascii="仿宋_GB2312" w:eastAsia="仿宋_GB2312"/>
          <w:b w:val="0"/>
          <w:sz w:val="32"/>
          <w:szCs w:val="32"/>
          <w:lang w:eastAsia="zh-CN"/>
        </w:rPr>
        <w:t>”“</w:t>
      </w:r>
      <w:r>
        <w:rPr>
          <w:rFonts w:ascii="仿宋_GB2312" w:eastAsia="仿宋_GB2312"/>
          <w:b w:val="0"/>
          <w:sz w:val="32"/>
          <w:szCs w:val="32"/>
        </w:rPr>
        <w:t>农牧骨干</w:t>
      </w:r>
      <w:r>
        <w:rPr>
          <w:rFonts w:hint="eastAsia" w:ascii="仿宋_GB2312" w:eastAsia="仿宋_GB2312"/>
          <w:b w:val="0"/>
          <w:sz w:val="32"/>
          <w:szCs w:val="32"/>
          <w:lang w:eastAsia="zh-CN"/>
        </w:rPr>
        <w:t>”</w:t>
      </w:r>
      <w:r>
        <w:rPr>
          <w:rFonts w:ascii="仿宋_GB2312" w:eastAsia="仿宋_GB2312"/>
          <w:b w:val="0"/>
          <w:sz w:val="32"/>
          <w:szCs w:val="32"/>
        </w:rPr>
        <w:t>等人才计划投入，提升博士/硕士占比，提高高学历职工比例。加强与疆内外科研院所的技术合作，通过以产带学，产学研融合，锤炼单位科研团队。通过各种桥梁通道，建立人才引进机制，尤其是有相关专业证书的高技术人才，扩大单位各项咨询业务的资质范围，提升市场占有率。</w:t>
      </w:r>
      <w:r>
        <w:rPr>
          <w:rFonts w:hint="eastAsia" w:ascii="仿宋_GB2312" w:eastAsia="仿宋_GB2312"/>
          <w:b w:val="0"/>
          <w:sz w:val="32"/>
          <w:szCs w:val="32"/>
          <w:lang w:eastAsia="zh-CN"/>
        </w:rPr>
        <w:t>四是</w:t>
      </w:r>
      <w:r>
        <w:rPr>
          <w:rFonts w:ascii="仿宋_GB2312" w:eastAsia="仿宋_GB2312"/>
          <w:b w:val="0"/>
          <w:sz w:val="32"/>
          <w:szCs w:val="32"/>
        </w:rPr>
        <w:t>绩效动态监控：加强财务人员和业务人员的沟通配合，按照上级主管部门下达的绩效监控安排，建立单位自己的绩效监控和收集体系制度，做好责任划分，真正把绩效目标评价作为单位每一个工作人员的责任，业务人员要对提交的绩效佐证材料的真实性可靠性负责，财务人员要加强对佐证材料的审核把关。更加精确地填报年初预算和绩效目标，实时跟踪资金执行与目标偏差。具体附部门整体支出绩效自评表，项目支出绩效自评表和部门评价报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第三部分 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w:t>
      </w:r>
      <w:r>
        <w:rPr>
          <w:rFonts w:hint="eastAsia" w:ascii="仿宋_GB2312" w:eastAsia="仿宋_GB2312"/>
          <w:b w:val="0"/>
          <w:sz w:val="32"/>
          <w:szCs w:val="32"/>
          <w:lang w:eastAsia="zh-CN"/>
        </w:rPr>
        <w:t>“</w:t>
      </w:r>
      <w:r>
        <w:rPr>
          <w:rFonts w:ascii="仿宋_GB2312" w:eastAsia="仿宋_GB2312"/>
          <w:b w:val="0"/>
          <w:sz w:val="32"/>
          <w:szCs w:val="32"/>
        </w:rPr>
        <w:t>财政拨款收入</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事业收入</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经营收入</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附属单位上缴收入</w:t>
      </w:r>
      <w:r>
        <w:rPr>
          <w:rFonts w:hint="eastAsia" w:ascii="仿宋_GB2312" w:eastAsia="仿宋_GB2312"/>
          <w:b w:val="0"/>
          <w:sz w:val="32"/>
          <w:szCs w:val="32"/>
          <w:lang w:eastAsia="zh-CN"/>
        </w:rPr>
        <w:t>”</w:t>
      </w:r>
      <w:r>
        <w:rPr>
          <w:rFonts w:ascii="仿宋_GB2312" w:eastAsia="仿宋_GB2312"/>
          <w:b w:val="0"/>
          <w:sz w:val="32"/>
          <w:szCs w:val="32"/>
        </w:rPr>
        <w:t>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w:t>
      </w:r>
      <w:r>
        <w:rPr>
          <w:rFonts w:hint="eastAsia" w:ascii="仿宋_GB2312" w:eastAsia="仿宋_GB2312"/>
          <w:b/>
          <w:sz w:val="32"/>
          <w:szCs w:val="32"/>
          <w:lang w:eastAsia="zh-CN"/>
        </w:rPr>
        <w:t>“</w:t>
      </w:r>
      <w:r>
        <w:rPr>
          <w:rFonts w:ascii="仿宋_GB2312" w:eastAsia="仿宋_GB2312"/>
          <w:b/>
          <w:sz w:val="32"/>
          <w:szCs w:val="32"/>
        </w:rPr>
        <w:t>三公</w:t>
      </w:r>
      <w:r>
        <w:rPr>
          <w:rFonts w:hint="eastAsia" w:ascii="仿宋_GB2312" w:eastAsia="仿宋_GB2312"/>
          <w:b/>
          <w:sz w:val="32"/>
          <w:szCs w:val="32"/>
          <w:lang w:eastAsia="zh-CN"/>
        </w:rPr>
        <w:t>”</w:t>
      </w:r>
      <w:r>
        <w:rPr>
          <w:rFonts w:ascii="仿宋_GB2312" w:eastAsia="仿宋_GB2312"/>
          <w:b/>
          <w:sz w:val="32"/>
          <w:szCs w:val="32"/>
        </w:rPr>
        <w:t>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第四部分 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4C5B1C"/>
    <w:rsid w:val="19460EBE"/>
    <w:rsid w:val="57A3432B"/>
    <w:rsid w:val="66D328FD"/>
    <w:rsid w:val="76946A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18</Pages>
  <Words>6859</Words>
  <Characters>7576</Characters>
  <TotalTime>3</TotalTime>
  <ScaleCrop>false</ScaleCrop>
  <LinksUpToDate>false</LinksUpToDate>
  <CharactersWithSpaces>7586</CharactersWithSpaces>
  <Application>WPS Office_11.8.2.10912_F1E327BC-269C-435d-A152-05C5408002CA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2025-08-22T03:31:00Z</dcterms:created>
  <dc:creator>Administrator</dc:creator>
  <cp:lastModifiedBy>Administrator</cp:lastModifiedBy>
  <dcterms:modified xsi:type="dcterms:W3CDTF">2025-08-25T09:46:21Z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48205D588D7845B8A17EF85AFC17C634</vt:lpwstr>
  </property>
</Properties>
</file>