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15668">
      <w:pPr>
        <w:spacing w:after="0" w:line="560" w:lineRule="exact"/>
        <w:rPr>
          <w:rFonts w:ascii="宋体" w:eastAsia="宋体"/>
          <w:sz w:val="32"/>
          <w:szCs w:val="32"/>
        </w:rPr>
      </w:pPr>
    </w:p>
    <w:p w14:paraId="7E4314FC">
      <w:pPr>
        <w:spacing w:after="0" w:line="560" w:lineRule="exact"/>
        <w:rPr>
          <w:rFonts w:ascii="宋体" w:eastAsia="宋体"/>
          <w:sz w:val="44"/>
          <w:szCs w:val="44"/>
        </w:rPr>
      </w:pPr>
    </w:p>
    <w:p w14:paraId="7D4820A8">
      <w:pPr>
        <w:spacing w:after="0" w:line="560" w:lineRule="exact"/>
        <w:rPr>
          <w:rFonts w:ascii="宋体" w:eastAsia="宋体"/>
          <w:sz w:val="44"/>
          <w:szCs w:val="44"/>
        </w:rPr>
      </w:pPr>
    </w:p>
    <w:p w14:paraId="6AC0AC7B">
      <w:pPr>
        <w:spacing w:after="0" w:line="560" w:lineRule="exact"/>
        <w:rPr>
          <w:rFonts w:ascii="宋体" w:eastAsia="宋体"/>
          <w:sz w:val="44"/>
          <w:szCs w:val="44"/>
        </w:rPr>
      </w:pPr>
    </w:p>
    <w:p w14:paraId="70D27A3C">
      <w:pPr>
        <w:spacing w:after="0" w:line="560" w:lineRule="exact"/>
        <w:jc w:val="center"/>
        <w:outlineLvl w:val="0"/>
        <w:rPr>
          <w:rFonts w:ascii="宋体" w:eastAsia="黑体"/>
          <w:sz w:val="44"/>
          <w:szCs w:val="44"/>
          <w:lang w:eastAsia="zh-CN"/>
        </w:rPr>
      </w:pPr>
      <w:r>
        <w:rPr>
          <w:rFonts w:ascii="宋体" w:eastAsia="黑体"/>
          <w:sz w:val="44"/>
          <w:szCs w:val="44"/>
          <w:lang w:eastAsia="zh-CN"/>
        </w:rPr>
        <w:t>新疆林业测试中心</w:t>
      </w:r>
    </w:p>
    <w:p w14:paraId="69AF3E93">
      <w:pPr>
        <w:spacing w:after="0" w:line="560" w:lineRule="exact"/>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8F31621">
      <w:pPr>
        <w:spacing w:after="0" w:line="560" w:lineRule="exact"/>
        <w:rPr>
          <w:lang w:eastAsia="zh-CN"/>
        </w:rPr>
      </w:pPr>
      <w:r>
        <w:rPr>
          <w:sz w:val="0"/>
          <w:szCs w:val="0"/>
          <w:lang w:eastAsia="zh-CN"/>
        </w:rPr>
        <w:br w:type="page"/>
      </w:r>
    </w:p>
    <w:p w14:paraId="18F09042">
      <w:pPr>
        <w:spacing w:after="0" w:line="560" w:lineRule="exact"/>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val="en-US" w:eastAsia="zh-CN"/>
        </w:rPr>
        <w:t xml:space="preserve"> </w:t>
      </w:r>
      <w:r>
        <w:rPr>
          <w:rFonts w:ascii="黑体" w:eastAsia="黑体"/>
          <w:b/>
          <w:sz w:val="32"/>
          <w:szCs w:val="32"/>
          <w:lang w:eastAsia="zh-CN"/>
        </w:rPr>
        <w:t>录</w:t>
      </w:r>
    </w:p>
    <w:p w14:paraId="5AEF4C39">
      <w:pPr>
        <w:spacing w:after="0" w:line="560" w:lineRule="exact"/>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单位概况</w:t>
      </w:r>
    </w:p>
    <w:p w14:paraId="5BB4BD27">
      <w:pPr>
        <w:spacing w:after="0" w:line="560" w:lineRule="exact"/>
        <w:rPr>
          <w:rFonts w:ascii="仿宋_GB2312" w:eastAsia="仿宋_GB2312"/>
          <w:sz w:val="32"/>
          <w:szCs w:val="32"/>
          <w:lang w:eastAsia="zh-CN"/>
        </w:rPr>
      </w:pPr>
      <w:r>
        <w:rPr>
          <w:rFonts w:ascii="仿宋_GB2312" w:eastAsia="仿宋_GB2312"/>
          <w:sz w:val="32"/>
          <w:szCs w:val="32"/>
          <w:lang w:eastAsia="zh-CN"/>
        </w:rPr>
        <w:t>一、主要职能</w:t>
      </w:r>
    </w:p>
    <w:p w14:paraId="6E9E0BD2">
      <w:pPr>
        <w:spacing w:after="0" w:line="560" w:lineRule="exact"/>
        <w:rPr>
          <w:rFonts w:ascii="仿宋_GB2312" w:eastAsia="仿宋_GB2312"/>
          <w:sz w:val="32"/>
          <w:szCs w:val="32"/>
          <w:lang w:eastAsia="zh-CN"/>
        </w:rPr>
      </w:pPr>
      <w:r>
        <w:rPr>
          <w:rFonts w:ascii="仿宋_GB2312" w:eastAsia="仿宋_GB2312"/>
          <w:sz w:val="32"/>
          <w:szCs w:val="32"/>
          <w:lang w:eastAsia="zh-CN"/>
        </w:rPr>
        <w:t>二、机构设置及人员情况</w:t>
      </w:r>
    </w:p>
    <w:p w14:paraId="0AA355EB">
      <w:pPr>
        <w:spacing w:after="0" w:line="560" w:lineRule="exact"/>
        <w:rPr>
          <w:rFonts w:ascii="仿宋_GB2312" w:eastAsia="仿宋_GB2312"/>
          <w:sz w:val="32"/>
          <w:szCs w:val="32"/>
          <w:lang w:eastAsia="zh-CN"/>
        </w:rPr>
      </w:pPr>
      <w:r>
        <w:rPr>
          <w:rFonts w:ascii="仿宋_GB2312" w:eastAsia="仿宋_GB2312"/>
          <w:b/>
          <w:sz w:val="32"/>
          <w:szCs w:val="32"/>
          <w:lang w:eastAsia="zh-CN"/>
        </w:rPr>
        <w:t>第二部分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部门决算情况说明</w:t>
      </w:r>
    </w:p>
    <w:p w14:paraId="42CE7C91">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A9BE1D1">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二、收入决算情况说明</w:t>
      </w:r>
    </w:p>
    <w:p w14:paraId="0E7D6C96">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三、支出决算情况说明</w:t>
      </w:r>
    </w:p>
    <w:p w14:paraId="7C24870A">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76EA480">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DF5273C">
      <w:pPr>
        <w:spacing w:after="0" w:line="560" w:lineRule="exact"/>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F7956AA">
      <w:pPr>
        <w:spacing w:after="0" w:line="560" w:lineRule="exact"/>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D1D5892">
      <w:pPr>
        <w:spacing w:after="0" w:line="560" w:lineRule="exact"/>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752BC7E">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BDA706C">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0F150D2">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1CF3D9F">
      <w:pPr>
        <w:spacing w:after="0" w:line="56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九、财政拨款“三公”经费支出决算情况说明</w:t>
      </w:r>
    </w:p>
    <w:p w14:paraId="16FC61FC">
      <w:pPr>
        <w:spacing w:after="0" w:line="560" w:lineRule="exact"/>
        <w:rPr>
          <w:rFonts w:ascii="仿宋_GB2312" w:eastAsia="仿宋_GB2312"/>
          <w:sz w:val="32"/>
          <w:szCs w:val="32"/>
          <w:lang w:eastAsia="zh-CN"/>
        </w:rPr>
      </w:pPr>
      <w:r>
        <w:rPr>
          <w:rFonts w:ascii="仿宋_GB2312" w:eastAsia="仿宋_GB2312"/>
          <w:sz w:val="32"/>
          <w:szCs w:val="32"/>
          <w:lang w:eastAsia="zh-CN"/>
        </w:rPr>
        <w:t>十、其他重要事项的情况说明</w:t>
      </w:r>
    </w:p>
    <w:p w14:paraId="2358D55D">
      <w:pPr>
        <w:spacing w:after="0" w:line="560" w:lineRule="exact"/>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97FC154">
      <w:pPr>
        <w:spacing w:after="0" w:line="560" w:lineRule="exact"/>
        <w:rPr>
          <w:rFonts w:ascii="仿宋_GB2312" w:eastAsia="仿宋_GB2312"/>
          <w:sz w:val="32"/>
          <w:szCs w:val="32"/>
          <w:lang w:eastAsia="zh-CN"/>
        </w:rPr>
      </w:pPr>
      <w:r>
        <w:rPr>
          <w:rFonts w:ascii="仿宋_GB2312" w:eastAsia="仿宋_GB2312"/>
          <w:sz w:val="32"/>
          <w:szCs w:val="32"/>
          <w:lang w:eastAsia="zh-CN"/>
        </w:rPr>
        <w:t>（二）政府采购情况</w:t>
      </w:r>
    </w:p>
    <w:p w14:paraId="7C4A02EB">
      <w:pPr>
        <w:spacing w:after="0" w:line="560" w:lineRule="exact"/>
        <w:rPr>
          <w:rFonts w:ascii="仿宋_GB2312" w:eastAsia="仿宋_GB2312"/>
          <w:sz w:val="32"/>
          <w:szCs w:val="32"/>
          <w:lang w:eastAsia="zh-CN"/>
        </w:rPr>
      </w:pPr>
      <w:r>
        <w:rPr>
          <w:rFonts w:ascii="仿宋_GB2312" w:eastAsia="仿宋_GB2312"/>
          <w:sz w:val="32"/>
          <w:szCs w:val="32"/>
          <w:lang w:eastAsia="zh-CN"/>
        </w:rPr>
        <w:t>（三）国有资产占用情况说明</w:t>
      </w:r>
    </w:p>
    <w:p w14:paraId="382CDEC1">
      <w:pPr>
        <w:spacing w:after="0" w:line="560" w:lineRule="exact"/>
        <w:rPr>
          <w:rFonts w:ascii="仿宋_GB2312" w:eastAsia="仿宋_GB2312"/>
          <w:sz w:val="32"/>
          <w:szCs w:val="32"/>
          <w:lang w:eastAsia="zh-CN"/>
        </w:rPr>
      </w:pPr>
      <w:r>
        <w:rPr>
          <w:rFonts w:ascii="仿宋_GB2312" w:eastAsia="仿宋_GB2312"/>
          <w:sz w:val="32"/>
          <w:szCs w:val="32"/>
          <w:lang w:eastAsia="zh-CN"/>
        </w:rPr>
        <w:t>十一、预算绩效的情况说明</w:t>
      </w:r>
    </w:p>
    <w:p w14:paraId="5A6281FB">
      <w:pPr>
        <w:spacing w:after="0" w:line="560" w:lineRule="exact"/>
        <w:rPr>
          <w:rFonts w:ascii="仿宋_GB2312" w:eastAsia="仿宋_GB2312"/>
          <w:sz w:val="32"/>
          <w:szCs w:val="32"/>
          <w:lang w:eastAsia="zh-CN"/>
        </w:rPr>
      </w:pPr>
      <w:r>
        <w:rPr>
          <w:rFonts w:ascii="仿宋_GB2312" w:eastAsia="仿宋_GB2312"/>
          <w:sz w:val="32"/>
          <w:szCs w:val="32"/>
          <w:lang w:eastAsia="zh-CN"/>
        </w:rPr>
        <w:t>十二、其他需说明的事项</w:t>
      </w:r>
    </w:p>
    <w:p w14:paraId="3CB895C0">
      <w:pPr>
        <w:spacing w:after="0" w:line="560" w:lineRule="exact"/>
        <w:rPr>
          <w:rFonts w:ascii="仿宋_GB2312" w:eastAsia="仿宋_GB2312"/>
          <w:sz w:val="32"/>
          <w:szCs w:val="32"/>
          <w:lang w:eastAsia="zh-CN"/>
        </w:rPr>
      </w:pPr>
      <w:r>
        <w:rPr>
          <w:rFonts w:ascii="仿宋_GB2312" w:eastAsia="仿宋_GB2312"/>
          <w:b/>
          <w:sz w:val="32"/>
          <w:szCs w:val="32"/>
          <w:lang w:eastAsia="zh-CN"/>
        </w:rPr>
        <w:t>第三部分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专业名词解释</w:t>
      </w:r>
    </w:p>
    <w:p w14:paraId="52C0E7BE">
      <w:pPr>
        <w:spacing w:after="0" w:line="560" w:lineRule="exact"/>
        <w:rPr>
          <w:rFonts w:ascii="仿宋_GB2312" w:eastAsia="仿宋_GB2312"/>
          <w:sz w:val="32"/>
          <w:szCs w:val="32"/>
          <w:lang w:eastAsia="zh-CN"/>
        </w:rPr>
      </w:pPr>
      <w:r>
        <w:rPr>
          <w:rFonts w:ascii="仿宋_GB2312" w:eastAsia="仿宋_GB2312"/>
          <w:b/>
          <w:sz w:val="32"/>
          <w:szCs w:val="32"/>
          <w:lang w:eastAsia="zh-CN"/>
        </w:rPr>
        <w:t>第四部分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部门决算报表（见附表）</w:t>
      </w:r>
    </w:p>
    <w:p w14:paraId="75515134">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一、《收入支出决算总表》</w:t>
      </w:r>
    </w:p>
    <w:p w14:paraId="365740BE">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二、《收入决算表》</w:t>
      </w:r>
    </w:p>
    <w:p w14:paraId="44BDEA82">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三、《支出决算表》</w:t>
      </w:r>
    </w:p>
    <w:p w14:paraId="0EB7563E">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B909C5C">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796CF31">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60AFA5">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567E868">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41E2A62">
      <w:pPr>
        <w:spacing w:after="0" w:line="56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九、《财政拨款“三公”经费支出决算表》</w:t>
      </w:r>
    </w:p>
    <w:p w14:paraId="1C8E4112">
      <w:pPr>
        <w:spacing w:after="0" w:line="560" w:lineRule="exact"/>
        <w:rPr>
          <w:lang w:eastAsia="zh-CN"/>
        </w:rPr>
      </w:pPr>
      <w:r>
        <w:rPr>
          <w:sz w:val="0"/>
          <w:szCs w:val="0"/>
          <w:lang w:eastAsia="zh-CN"/>
        </w:rPr>
        <w:br w:type="page"/>
      </w:r>
    </w:p>
    <w:p w14:paraId="67B2B284">
      <w:pPr>
        <w:spacing w:after="0" w:line="560" w:lineRule="exact"/>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val="en-US" w:eastAsia="zh-CN"/>
        </w:rPr>
        <w:t xml:space="preserve"> </w:t>
      </w:r>
      <w:r>
        <w:rPr>
          <w:rFonts w:ascii="黑体" w:eastAsia="黑体"/>
          <w:sz w:val="32"/>
          <w:szCs w:val="32"/>
          <w:lang w:eastAsia="zh-CN"/>
        </w:rPr>
        <w:t>单位概况</w:t>
      </w:r>
    </w:p>
    <w:p w14:paraId="1A0FDAE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137765C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承揽社会各类单位委托的相关检测工作，开展相关产品质量监督检验检测技术和标准的研究工作。</w:t>
      </w:r>
    </w:p>
    <w:p w14:paraId="50FBF0CF">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0E085BE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新疆林业测试中心2024年度，实有人数4人，其中：在职人员3人，较上年无变化；离休人员0人，较上年无变化；退休人员1人，较上年无变化；</w:t>
      </w:r>
    </w:p>
    <w:p w14:paraId="4035FCB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新疆林业测试中心无下属预算单位，下设3个</w:t>
      </w:r>
      <w:r>
        <w:rPr>
          <w:rFonts w:hint="eastAsia" w:ascii="仿宋_GB2312" w:eastAsia="仿宋_GB2312"/>
          <w:sz w:val="32"/>
          <w:szCs w:val="32"/>
          <w:lang w:eastAsia="zh-CN"/>
        </w:rPr>
        <w:t>科室</w:t>
      </w:r>
      <w:r>
        <w:rPr>
          <w:rFonts w:ascii="仿宋_GB2312" w:eastAsia="仿宋_GB2312"/>
          <w:sz w:val="32"/>
          <w:szCs w:val="32"/>
          <w:lang w:eastAsia="zh-CN"/>
        </w:rPr>
        <w:t>，分别是：分析实验室、生物实验室、中心开放实验室。</w:t>
      </w:r>
    </w:p>
    <w:p w14:paraId="510D9564">
      <w:pPr>
        <w:spacing w:after="0" w:line="560" w:lineRule="exact"/>
        <w:rPr>
          <w:lang w:eastAsia="zh-CN"/>
        </w:rPr>
      </w:pPr>
      <w:r>
        <w:rPr>
          <w:sz w:val="0"/>
          <w:szCs w:val="0"/>
          <w:lang w:eastAsia="zh-CN"/>
        </w:rPr>
        <w:br w:type="page"/>
      </w:r>
    </w:p>
    <w:p w14:paraId="54696E50">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w:t>
      </w:r>
      <w:r>
        <w:rPr>
          <w:rFonts w:hint="eastAsia" w:ascii="黑体" w:eastAsia="黑体"/>
          <w:sz w:val="32"/>
          <w:szCs w:val="32"/>
          <w:lang w:val="en-US" w:eastAsia="zh-CN"/>
        </w:rPr>
        <w:t xml:space="preserve"> </w:t>
      </w:r>
      <w:r>
        <w:rPr>
          <w:rFonts w:ascii="黑体" w:eastAsia="黑体"/>
          <w:sz w:val="32"/>
          <w:szCs w:val="32"/>
          <w:lang w:eastAsia="zh-CN"/>
        </w:rPr>
        <w:t>部门决算情况说明</w:t>
      </w:r>
    </w:p>
    <w:p w14:paraId="2F6C9B77">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13C62A16">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2024年度收入总计838.14万元，</w:t>
      </w:r>
      <w:r>
        <w:rPr>
          <w:rFonts w:ascii="仿宋_GB2312" w:eastAsia="仿宋_GB2312"/>
          <w:sz w:val="32"/>
          <w:szCs w:val="32"/>
          <w:lang w:eastAsia="zh-CN"/>
        </w:rPr>
        <w:t>其中：本年收入合计774.79万元，使用非财政拨款结余（含专用结余）0.00万元，年初结转和结余63.34万元。</w:t>
      </w:r>
    </w:p>
    <w:p w14:paraId="12A77711">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2024年度支出总计838.14万元，</w:t>
      </w:r>
      <w:r>
        <w:rPr>
          <w:rFonts w:ascii="仿宋_GB2312" w:eastAsia="仿宋_GB2312"/>
          <w:sz w:val="32"/>
          <w:szCs w:val="32"/>
          <w:lang w:eastAsia="zh-CN"/>
        </w:rPr>
        <w:t>其中：本年支出合计618.05万元，结余分配0.51万元，年末结转和结余219.57万元。</w:t>
      </w:r>
    </w:p>
    <w:p w14:paraId="4A37062E">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收入支出总体与上年相比，</w:t>
      </w:r>
      <w:r>
        <w:rPr>
          <w:rFonts w:ascii="仿宋_GB2312" w:eastAsia="仿宋_GB2312"/>
          <w:sz w:val="32"/>
          <w:szCs w:val="32"/>
          <w:lang w:eastAsia="zh-CN"/>
        </w:rPr>
        <w:t>增加258.30万元，增长44.55%，主要原因是：</w:t>
      </w:r>
      <w:r>
        <w:rPr>
          <w:rFonts w:hint="eastAsia" w:ascii="仿宋_GB2312" w:eastAsia="仿宋_GB2312"/>
          <w:sz w:val="32"/>
          <w:szCs w:val="32"/>
          <w:lang w:eastAsia="zh-CN"/>
        </w:rPr>
        <w:t>一是</w:t>
      </w:r>
      <w:r>
        <w:rPr>
          <w:rFonts w:ascii="仿宋_GB2312" w:eastAsia="仿宋_GB2312"/>
          <w:sz w:val="32"/>
          <w:szCs w:val="32"/>
          <w:lang w:eastAsia="zh-CN"/>
        </w:rPr>
        <w:t>因工资普调、社保基数上涨，人员经费较上年增加；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追加财政拨款项目和横向课题项目</w:t>
      </w:r>
      <w:r>
        <w:rPr>
          <w:rFonts w:hint="eastAsia" w:ascii="仿宋_GB2312" w:eastAsia="仿宋_GB2312"/>
          <w:sz w:val="32"/>
          <w:szCs w:val="32"/>
          <w:lang w:eastAsia="zh-CN"/>
        </w:rPr>
        <w:t>，因此项目经费上涨</w:t>
      </w:r>
      <w:r>
        <w:rPr>
          <w:rFonts w:ascii="仿宋_GB2312" w:eastAsia="仿宋_GB2312"/>
          <w:sz w:val="32"/>
          <w:szCs w:val="32"/>
          <w:lang w:eastAsia="zh-CN"/>
        </w:rPr>
        <w:t>。</w:t>
      </w:r>
    </w:p>
    <w:p w14:paraId="16D29B8D">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3B9DDE8E">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本年收入774.79万元，</w:t>
      </w:r>
      <w:r>
        <w:rPr>
          <w:rFonts w:ascii="仿宋_GB2312" w:eastAsia="仿宋_GB2312"/>
          <w:sz w:val="32"/>
          <w:szCs w:val="32"/>
          <w:lang w:eastAsia="zh-CN"/>
        </w:rPr>
        <w:t>其中：财政拨款收入392.40万元,占50.65%；上级补助收入0.00万元,占0.00%；事业收入381.88万元，占49.29%；经营收入0.00万元,占0.00%；附属单位上缴收入0.00万元，占0.00%；其他收入0.51万元，占0.07%。</w:t>
      </w:r>
    </w:p>
    <w:p w14:paraId="070ABDEE">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DA6921C">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本年支出618.05万元，</w:t>
      </w:r>
      <w:r>
        <w:rPr>
          <w:rFonts w:ascii="仿宋_GB2312" w:eastAsia="仿宋_GB2312"/>
          <w:sz w:val="32"/>
          <w:szCs w:val="32"/>
          <w:lang w:eastAsia="zh-CN"/>
        </w:rPr>
        <w:t>其中：基本支出57.40万元，占9.29%；项目支出560.66万元，占90.71%；上缴上级支出0.00万元，占0.00%；经营支出0.00万元，占0.00%；对附属单位补助支出0.00万元，占0.00%。</w:t>
      </w:r>
    </w:p>
    <w:p w14:paraId="42003715">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765BC9B">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2024年度财政拨款收入总计392.40万元，</w:t>
      </w:r>
      <w:r>
        <w:rPr>
          <w:rFonts w:ascii="仿宋_GB2312" w:eastAsia="仿宋_GB2312"/>
          <w:sz w:val="32"/>
          <w:szCs w:val="32"/>
          <w:lang w:eastAsia="zh-CN"/>
        </w:rPr>
        <w:t>其中：年初财政拨款结转和结余0.00万元，本年财政拨款收入392.40万元。</w:t>
      </w:r>
      <w:r>
        <w:rPr>
          <w:rFonts w:ascii="仿宋_GB2312" w:eastAsia="仿宋_GB2312"/>
          <w:b/>
          <w:bCs/>
          <w:sz w:val="32"/>
          <w:szCs w:val="32"/>
          <w:lang w:eastAsia="zh-CN"/>
        </w:rPr>
        <w:t>财政拨款支出总计392.40万元，</w:t>
      </w:r>
      <w:r>
        <w:rPr>
          <w:rFonts w:ascii="仿宋_GB2312" w:eastAsia="仿宋_GB2312"/>
          <w:sz w:val="32"/>
          <w:szCs w:val="32"/>
          <w:lang w:eastAsia="zh-CN"/>
        </w:rPr>
        <w:t>其中：年末财政拨款结转和结余0.00万元，本年财政拨款支出392.40万元。</w:t>
      </w:r>
    </w:p>
    <w:p w14:paraId="1EDD07F8">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财政拨款收入支出总体与上年相比，</w:t>
      </w:r>
      <w:r>
        <w:rPr>
          <w:rFonts w:ascii="仿宋_GB2312" w:eastAsia="仿宋_GB2312"/>
          <w:sz w:val="32"/>
          <w:szCs w:val="32"/>
          <w:lang w:eastAsia="zh-CN"/>
        </w:rPr>
        <w:t>减少49.93万元，下降11.29%，主要原因是：</w:t>
      </w:r>
      <w:r>
        <w:rPr>
          <w:rFonts w:hint="eastAsia" w:ascii="仿宋_GB2312" w:eastAsia="仿宋_GB2312"/>
          <w:sz w:val="32"/>
          <w:szCs w:val="32"/>
          <w:lang w:eastAsia="zh-CN"/>
        </w:rPr>
        <w:t>本年度未申报“天山英才”计划—三农骨干人才、科研创新平台人才团队支持计划项目</w:t>
      </w:r>
      <w:r>
        <w:rPr>
          <w:rFonts w:ascii="仿宋_GB2312" w:eastAsia="仿宋_GB2312"/>
          <w:sz w:val="32"/>
          <w:szCs w:val="32"/>
          <w:lang w:eastAsia="zh-CN"/>
        </w:rPr>
        <w:t>，</w:t>
      </w:r>
      <w:r>
        <w:rPr>
          <w:rFonts w:hint="eastAsia" w:ascii="仿宋_GB2312" w:eastAsia="仿宋_GB2312"/>
          <w:sz w:val="32"/>
          <w:szCs w:val="32"/>
          <w:lang w:eastAsia="zh-CN"/>
        </w:rPr>
        <w:t>因此</w:t>
      </w:r>
      <w:r>
        <w:rPr>
          <w:rFonts w:ascii="仿宋_GB2312" w:eastAsia="仿宋_GB2312"/>
          <w:sz w:val="32"/>
          <w:szCs w:val="32"/>
          <w:lang w:eastAsia="zh-CN"/>
        </w:rPr>
        <w:t>本年财政拨款项目经费减少。</w:t>
      </w:r>
      <w:r>
        <w:rPr>
          <w:rFonts w:ascii="仿宋_GB2312" w:eastAsia="仿宋_GB2312"/>
          <w:b/>
          <w:bCs/>
          <w:sz w:val="32"/>
          <w:szCs w:val="32"/>
          <w:lang w:eastAsia="zh-CN"/>
        </w:rPr>
        <w:t>与年初预算相比，</w:t>
      </w:r>
      <w:r>
        <w:rPr>
          <w:rFonts w:ascii="仿宋_GB2312" w:eastAsia="仿宋_GB2312"/>
          <w:sz w:val="32"/>
          <w:szCs w:val="32"/>
          <w:lang w:eastAsia="zh-CN"/>
        </w:rPr>
        <w:t>年初预算数388.28万元，决算数392.40万元，预决算差异率1.06%，主要原因是：预算执行中新增年度考核奖、调增基本工资等支出。</w:t>
      </w:r>
    </w:p>
    <w:p w14:paraId="189EA0A6">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943FA70">
      <w:pPr>
        <w:spacing w:after="0" w:line="560" w:lineRule="exact"/>
        <w:ind w:firstLine="640" w:firstLineChars="200"/>
        <w:outlineLvl w:val="1"/>
        <w:rPr>
          <w:rFonts w:hint="eastAsia" w:ascii="黑体" w:eastAsia="黑体"/>
          <w:sz w:val="32"/>
          <w:szCs w:val="32"/>
          <w:lang w:eastAsia="zh-CN"/>
        </w:rPr>
      </w:pPr>
      <w:r>
        <w:rPr>
          <w:rFonts w:hint="eastAsia" w:ascii="黑体" w:eastAsia="黑体"/>
          <w:sz w:val="32"/>
          <w:szCs w:val="32"/>
          <w:lang w:eastAsia="zh-CN"/>
        </w:rPr>
        <w:t>（一）一般公共预算财政拨款支出决算总体情况</w:t>
      </w:r>
    </w:p>
    <w:p w14:paraId="6AB3EBF0">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2024年度一般公共预算财政拨款支出392.40万元，</w:t>
      </w:r>
      <w:r>
        <w:rPr>
          <w:rFonts w:ascii="仿宋_GB2312" w:eastAsia="仿宋_GB2312"/>
          <w:sz w:val="32"/>
          <w:szCs w:val="32"/>
          <w:lang w:eastAsia="zh-CN"/>
        </w:rPr>
        <w:t>占本年支出合计的63.49%。</w:t>
      </w:r>
      <w:r>
        <w:rPr>
          <w:rFonts w:ascii="仿宋_GB2312" w:eastAsia="仿宋_GB2312"/>
          <w:b/>
          <w:bCs/>
          <w:sz w:val="32"/>
          <w:szCs w:val="32"/>
          <w:lang w:eastAsia="zh-CN"/>
        </w:rPr>
        <w:t>与上年相比，</w:t>
      </w:r>
      <w:r>
        <w:rPr>
          <w:rFonts w:ascii="仿宋_GB2312" w:eastAsia="仿宋_GB2312"/>
          <w:sz w:val="32"/>
          <w:szCs w:val="32"/>
          <w:lang w:eastAsia="zh-CN"/>
        </w:rPr>
        <w:t>减少49.93万元，下降11.29%，主要原因是：</w:t>
      </w:r>
      <w:r>
        <w:rPr>
          <w:rFonts w:hint="eastAsia" w:ascii="仿宋_GB2312" w:eastAsia="仿宋_GB2312"/>
          <w:sz w:val="32"/>
          <w:szCs w:val="32"/>
          <w:lang w:eastAsia="zh-CN"/>
        </w:rPr>
        <w:t>本年度未申报“天山英才”计划—三农骨干人才、科研创新平台人才团队支持计划项目</w:t>
      </w:r>
      <w:r>
        <w:rPr>
          <w:rFonts w:ascii="仿宋_GB2312" w:eastAsia="仿宋_GB2312"/>
          <w:sz w:val="32"/>
          <w:szCs w:val="32"/>
          <w:lang w:eastAsia="zh-CN"/>
        </w:rPr>
        <w:t>，</w:t>
      </w:r>
      <w:r>
        <w:rPr>
          <w:rFonts w:hint="eastAsia" w:ascii="仿宋_GB2312" w:eastAsia="仿宋_GB2312"/>
          <w:sz w:val="32"/>
          <w:szCs w:val="32"/>
          <w:lang w:eastAsia="zh-CN"/>
        </w:rPr>
        <w:t>因此</w:t>
      </w:r>
      <w:r>
        <w:rPr>
          <w:rFonts w:ascii="仿宋_GB2312" w:eastAsia="仿宋_GB2312"/>
          <w:sz w:val="32"/>
          <w:szCs w:val="32"/>
          <w:lang w:eastAsia="zh-CN"/>
        </w:rPr>
        <w:t>本年财政拨款项目经费减少。</w:t>
      </w:r>
      <w:r>
        <w:rPr>
          <w:rFonts w:ascii="仿宋_GB2312" w:eastAsia="仿宋_GB2312"/>
          <w:b/>
          <w:bCs/>
          <w:sz w:val="32"/>
          <w:szCs w:val="32"/>
          <w:lang w:eastAsia="zh-CN"/>
        </w:rPr>
        <w:t>与年初预算相比，</w:t>
      </w:r>
      <w:r>
        <w:rPr>
          <w:rFonts w:ascii="仿宋_GB2312" w:eastAsia="仿宋_GB2312"/>
          <w:sz w:val="32"/>
          <w:szCs w:val="32"/>
          <w:lang w:eastAsia="zh-CN"/>
        </w:rPr>
        <w:t>年初预算数388.28万元，决算数392.40万元，预决算差异率1.06%，主要原因是：预算执行中新增年度考核奖、调增基本工资等支出。</w:t>
      </w:r>
    </w:p>
    <w:p w14:paraId="3B6CE527">
      <w:pPr>
        <w:spacing w:after="0" w:line="560" w:lineRule="exact"/>
        <w:ind w:firstLine="640" w:firstLineChars="200"/>
        <w:outlineLvl w:val="1"/>
        <w:rPr>
          <w:rFonts w:hint="eastAsia" w:ascii="黑体" w:eastAsia="黑体"/>
          <w:sz w:val="32"/>
          <w:szCs w:val="32"/>
          <w:lang w:eastAsia="zh-CN"/>
        </w:rPr>
      </w:pPr>
      <w:r>
        <w:rPr>
          <w:rFonts w:hint="eastAsia" w:ascii="黑体" w:eastAsia="黑体"/>
          <w:sz w:val="32"/>
          <w:szCs w:val="32"/>
          <w:lang w:eastAsia="zh-CN"/>
        </w:rPr>
        <w:t>（二）一般公共预算财政拨款支出决算结构情况</w:t>
      </w:r>
    </w:p>
    <w:p w14:paraId="6F0E16B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科学技术支出（类）57.40万元，占14.63%。</w:t>
      </w:r>
    </w:p>
    <w:p w14:paraId="2CA36495">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农林水支出（类）335.00万元，占85.37%。</w:t>
      </w:r>
    </w:p>
    <w:p w14:paraId="4AC03E0F">
      <w:pPr>
        <w:spacing w:after="0" w:line="560" w:lineRule="exact"/>
        <w:ind w:firstLine="640" w:firstLineChars="200"/>
        <w:outlineLvl w:val="1"/>
        <w:rPr>
          <w:rFonts w:hint="eastAsia" w:ascii="黑体" w:eastAsia="黑体"/>
          <w:sz w:val="32"/>
          <w:szCs w:val="32"/>
          <w:lang w:eastAsia="zh-CN"/>
        </w:rPr>
      </w:pPr>
      <w:r>
        <w:rPr>
          <w:rFonts w:hint="eastAsia" w:ascii="黑体" w:eastAsia="黑体"/>
          <w:sz w:val="32"/>
          <w:szCs w:val="32"/>
          <w:lang w:eastAsia="zh-CN"/>
        </w:rPr>
        <w:t>（三）一般公共预算财政拨款支出决算具体情况</w:t>
      </w:r>
    </w:p>
    <w:p w14:paraId="4CF6FA81">
      <w:pPr>
        <w:numPr>
          <w:ilvl w:val="0"/>
          <w:numId w:val="1"/>
        </w:numPr>
        <w:spacing w:after="0" w:line="560" w:lineRule="exact"/>
        <w:rPr>
          <w:rFonts w:ascii="仿宋_GB2312" w:eastAsia="仿宋_GB2312"/>
          <w:sz w:val="32"/>
          <w:szCs w:val="32"/>
          <w:lang w:eastAsia="zh-CN"/>
        </w:rPr>
      </w:pPr>
      <w:r>
        <w:rPr>
          <w:rFonts w:ascii="仿宋_GB2312" w:eastAsia="仿宋_GB2312"/>
          <w:sz w:val="32"/>
          <w:szCs w:val="32"/>
          <w:lang w:eastAsia="zh-CN"/>
        </w:rPr>
        <w:t>科学技术支出（类）基础研究（款）科技人才队伍建设（项）：支出决算数为0.00万元，比上年决算减少70.00万元，下降100.00%，主要原因是：</w:t>
      </w:r>
      <w:r>
        <w:rPr>
          <w:rFonts w:hint="eastAsia" w:ascii="仿宋_GB2312" w:eastAsia="仿宋_GB2312"/>
          <w:sz w:val="32"/>
          <w:szCs w:val="32"/>
          <w:lang w:eastAsia="zh-CN"/>
        </w:rPr>
        <w:t>本年度未申报“天山英才”计划—三农骨干人才、科研创新平台人才团队支持计划项目</w:t>
      </w:r>
      <w:r>
        <w:rPr>
          <w:rFonts w:ascii="仿宋_GB2312" w:eastAsia="仿宋_GB2312"/>
          <w:sz w:val="32"/>
          <w:szCs w:val="32"/>
          <w:lang w:eastAsia="zh-CN"/>
        </w:rPr>
        <w:t>。</w:t>
      </w:r>
    </w:p>
    <w:p w14:paraId="583A724A">
      <w:pPr>
        <w:numPr>
          <w:ilvl w:val="0"/>
          <w:numId w:val="1"/>
        </w:numPr>
        <w:spacing w:after="0" w:line="560" w:lineRule="exact"/>
        <w:rPr>
          <w:rFonts w:ascii="仿宋_GB2312" w:eastAsia="仿宋_GB2312"/>
          <w:sz w:val="32"/>
          <w:szCs w:val="32"/>
          <w:lang w:eastAsia="zh-CN"/>
        </w:rPr>
      </w:pPr>
      <w:r>
        <w:rPr>
          <w:rFonts w:ascii="仿宋_GB2312" w:eastAsia="仿宋_GB2312"/>
          <w:sz w:val="32"/>
          <w:szCs w:val="32"/>
          <w:lang w:eastAsia="zh-CN"/>
        </w:rPr>
        <w:t>科学技术支出（类）应用研究（款）机构运行（项）：支出决算数为57.40万元，比上年决算减少48.93万元，下降46.02%，主要原因是：</w:t>
      </w:r>
      <w:r>
        <w:rPr>
          <w:rFonts w:hint="eastAsia" w:ascii="仿宋_GB2312" w:eastAsia="仿宋_GB2312"/>
          <w:sz w:val="32"/>
          <w:szCs w:val="32"/>
          <w:lang w:eastAsia="zh-CN"/>
        </w:rPr>
        <w:t>人员经费较上年减少31.37万元，日常</w:t>
      </w:r>
      <w:r>
        <w:rPr>
          <w:rFonts w:ascii="仿宋_GB2312" w:eastAsia="仿宋_GB2312"/>
          <w:sz w:val="32"/>
          <w:szCs w:val="32"/>
          <w:lang w:eastAsia="zh-CN"/>
        </w:rPr>
        <w:t>公用经费</w:t>
      </w:r>
      <w:r>
        <w:rPr>
          <w:rFonts w:hint="eastAsia" w:ascii="仿宋_GB2312" w:eastAsia="仿宋_GB2312"/>
          <w:sz w:val="32"/>
          <w:szCs w:val="32"/>
          <w:lang w:eastAsia="zh-CN"/>
        </w:rPr>
        <w:t>较上年</w:t>
      </w:r>
      <w:r>
        <w:rPr>
          <w:rFonts w:ascii="仿宋_GB2312" w:eastAsia="仿宋_GB2312"/>
          <w:sz w:val="32"/>
          <w:szCs w:val="32"/>
          <w:lang w:eastAsia="zh-CN"/>
        </w:rPr>
        <w:t>减少</w:t>
      </w:r>
      <w:r>
        <w:rPr>
          <w:rFonts w:hint="eastAsia" w:ascii="仿宋_GB2312" w:eastAsia="仿宋_GB2312"/>
          <w:sz w:val="32"/>
          <w:szCs w:val="32"/>
          <w:lang w:eastAsia="zh-CN"/>
        </w:rPr>
        <w:t>17.56万元</w:t>
      </w:r>
      <w:r>
        <w:rPr>
          <w:rFonts w:ascii="仿宋_GB2312" w:eastAsia="仿宋_GB2312"/>
          <w:sz w:val="32"/>
          <w:szCs w:val="32"/>
          <w:lang w:eastAsia="zh-CN"/>
        </w:rPr>
        <w:t>。</w:t>
      </w:r>
    </w:p>
    <w:p w14:paraId="5872C7B0">
      <w:pPr>
        <w:numPr>
          <w:ilvl w:val="0"/>
          <w:numId w:val="1"/>
        </w:numPr>
        <w:spacing w:after="0" w:line="560" w:lineRule="exact"/>
        <w:ind w:firstLineChars="0"/>
        <w:rPr>
          <w:rFonts w:ascii="仿宋_GB2312" w:eastAsia="仿宋_GB2312"/>
          <w:sz w:val="32"/>
          <w:szCs w:val="32"/>
          <w:lang w:eastAsia="zh-CN"/>
        </w:rPr>
      </w:pPr>
      <w:r>
        <w:rPr>
          <w:rFonts w:ascii="仿宋_GB2312" w:eastAsia="仿宋_GB2312"/>
          <w:sz w:val="32"/>
          <w:szCs w:val="32"/>
          <w:lang w:eastAsia="zh-CN"/>
        </w:rPr>
        <w:t>农林水支出（类）林业和草原（款）其他林业和草原支出（项）：支出决算数为335.00万元，比上年决算增加69.00万元，增长25.94%，主要原因是：</w:t>
      </w:r>
      <w:r>
        <w:rPr>
          <w:rFonts w:hint="eastAsia" w:ascii="仿宋_GB2312" w:eastAsia="仿宋_GB2312"/>
          <w:sz w:val="32"/>
          <w:szCs w:val="32"/>
          <w:lang w:eastAsia="zh-CN"/>
        </w:rPr>
        <w:t>本年度新增项目新疆红枣等</w:t>
      </w:r>
      <w:r>
        <w:rPr>
          <w:rFonts w:ascii="仿宋_GB2312" w:eastAsia="仿宋_GB2312"/>
          <w:sz w:val="32"/>
          <w:szCs w:val="32"/>
          <w:lang w:eastAsia="zh-CN"/>
        </w:rPr>
        <w:t>6</w:t>
      </w:r>
      <w:r>
        <w:rPr>
          <w:rFonts w:hint="eastAsia" w:ascii="仿宋_GB2312" w:eastAsia="仿宋_GB2312"/>
          <w:sz w:val="32"/>
          <w:szCs w:val="32"/>
          <w:lang w:eastAsia="zh-CN"/>
        </w:rPr>
        <w:t>种林果产品香港标准符合性检测、新疆核桃种质资源指纹图谱构建、新疆果桑种质资源规范管理表型性状鉴定</w:t>
      </w:r>
      <w:r>
        <w:rPr>
          <w:rFonts w:ascii="仿宋_GB2312" w:eastAsia="仿宋_GB2312"/>
          <w:sz w:val="32"/>
          <w:szCs w:val="32"/>
          <w:lang w:eastAsia="zh-CN"/>
        </w:rPr>
        <w:t>，</w:t>
      </w:r>
      <w:r>
        <w:rPr>
          <w:rFonts w:hint="eastAsia" w:ascii="仿宋_GB2312" w:eastAsia="仿宋_GB2312"/>
          <w:sz w:val="32"/>
          <w:szCs w:val="32"/>
          <w:lang w:eastAsia="zh-CN"/>
        </w:rPr>
        <w:t>因此</w:t>
      </w:r>
      <w:r>
        <w:rPr>
          <w:rFonts w:ascii="仿宋_GB2312" w:eastAsia="仿宋_GB2312"/>
          <w:sz w:val="32"/>
          <w:szCs w:val="32"/>
          <w:lang w:eastAsia="zh-CN"/>
        </w:rPr>
        <w:t>相应项目经费支出较上年增加。</w:t>
      </w:r>
    </w:p>
    <w:p w14:paraId="145D6B6B">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F6F23B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2024年度一般公共预算财政拨款基本支出57.40万元，其中：</w:t>
      </w:r>
      <w:r>
        <w:rPr>
          <w:rFonts w:ascii="仿宋_GB2312" w:eastAsia="仿宋_GB2312"/>
          <w:b/>
          <w:bCs/>
          <w:sz w:val="32"/>
          <w:szCs w:val="32"/>
          <w:lang w:eastAsia="zh-CN"/>
        </w:rPr>
        <w:t>人员经费53.41万元，</w:t>
      </w:r>
      <w:r>
        <w:rPr>
          <w:rFonts w:ascii="仿宋_GB2312" w:eastAsia="仿宋_GB2312"/>
          <w:sz w:val="32"/>
          <w:szCs w:val="32"/>
          <w:lang w:eastAsia="zh-CN"/>
        </w:rPr>
        <w:t>包括：基本工资、津贴补贴、奖金、绩效工资、机关事业单位基本养老保险缴费、职工基本医疗保险缴费、公务员医疗补助缴费、其他社会保障缴费、住房公积金、退休费和其他对个人和家庭的补助。</w:t>
      </w:r>
    </w:p>
    <w:p w14:paraId="643E6E62">
      <w:pPr>
        <w:spacing w:after="0" w:line="560" w:lineRule="exact"/>
        <w:ind w:firstLine="643" w:firstLineChars="200"/>
        <w:jc w:val="both"/>
        <w:rPr>
          <w:rFonts w:ascii="仿宋_GB2312" w:eastAsia="仿宋_GB2312"/>
          <w:sz w:val="32"/>
          <w:szCs w:val="32"/>
          <w:lang w:eastAsia="zh-CN"/>
        </w:rPr>
      </w:pPr>
      <w:r>
        <w:rPr>
          <w:rFonts w:ascii="仿宋_GB2312" w:eastAsia="仿宋_GB2312"/>
          <w:b/>
          <w:bCs/>
          <w:sz w:val="32"/>
          <w:szCs w:val="32"/>
          <w:lang w:eastAsia="zh-CN"/>
        </w:rPr>
        <w:t>公用经费3.98万元，</w:t>
      </w:r>
      <w:r>
        <w:rPr>
          <w:rFonts w:ascii="仿宋_GB2312" w:eastAsia="仿宋_GB2312"/>
          <w:sz w:val="32"/>
          <w:szCs w:val="32"/>
          <w:lang w:eastAsia="zh-CN"/>
        </w:rPr>
        <w:t>包括：办公费、邮电费、劳务费、工会经费、福利费、其他交通费用、税金及附加费用和其他商品和服务支出。</w:t>
      </w:r>
    </w:p>
    <w:p w14:paraId="43F9A8D9">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5033C9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BA9DA51">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4CD7D1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A4CFA6E">
      <w:pPr>
        <w:spacing w:after="0" w:line="560" w:lineRule="exact"/>
        <w:ind w:firstLine="640" w:firstLineChars="200"/>
        <w:outlineLvl w:val="1"/>
        <w:rPr>
          <w:rFonts w:ascii="黑体" w:hAnsi="黑体" w:eastAsia="黑体" w:cs="黑体"/>
          <w:sz w:val="32"/>
          <w:szCs w:val="32"/>
          <w:lang w:eastAsia="zh-CN"/>
        </w:rPr>
      </w:pPr>
      <w:r>
        <w:rPr>
          <w:rFonts w:hint="eastAsia" w:ascii="黑体" w:hAnsi="黑体" w:eastAsia="黑体" w:cs="黑体"/>
          <w:sz w:val="32"/>
          <w:szCs w:val="32"/>
          <w:lang w:eastAsia="zh-CN"/>
        </w:rPr>
        <w:t>九、财政拨款“三公”经费支出决算情况说明</w:t>
      </w:r>
    </w:p>
    <w:p w14:paraId="578FF864">
      <w:pPr>
        <w:spacing w:after="0" w:line="560" w:lineRule="exact"/>
        <w:ind w:firstLine="643"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2024年度财政拨款“三公”经费支出0.00万元，</w:t>
      </w:r>
      <w:r>
        <w:rPr>
          <w:rFonts w:hint="eastAsia" w:ascii="仿宋_GB2312" w:hAnsi="仿宋_GB2312" w:eastAsia="仿宋_GB2312" w:cs="仿宋_GB2312"/>
          <w:sz w:val="32"/>
          <w:szCs w:val="32"/>
          <w:lang w:eastAsia="zh-CN"/>
        </w:rPr>
        <w:t>与上年相比无变化，主要原因是：我单位2023年度与2024年度均未安排财政拨款“三公”经费支出。其中：因公出国（境）费支出0.00万元,占0.00%，与上年相比无变化，主要原因是：我单位2023年度与2024年度均未安排因公出国（境）费支出；公务用车购置及运行维护费支出0.00万元，占0.00%，与上年相比无变化，主要原因是：我单位2023年度与2024年度均未安排公务用车购置及运行维护费支出；公务接待费支出0.00万元，占0.00%，与上年相比无变化，主要原因是：我单位2023年度与2024年度均未安排公务接待费支出。</w:t>
      </w:r>
    </w:p>
    <w:p w14:paraId="1C8A6AF0">
      <w:pPr>
        <w:spacing w:after="0" w:line="56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具体情况如下：</w:t>
      </w:r>
    </w:p>
    <w:p w14:paraId="4E517CE6">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因公出国（境）费支出0.00万元，开支内容包括我单位无因公出国（境）费支出。单位全年安排的因公出国（境）团组0个，因公出国（境）0人次。</w:t>
      </w:r>
    </w:p>
    <w:p w14:paraId="1ACEC7AB">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务用车购置及运行维护费0.00万元，其中：公务用车购置费0.00万元，公务用车运行维护费0.00万元。公务用车运行维护费开支内容包括我单位2024年度未安排公务用车运行维护费。公务用车购置数0辆，公务用车保有量0辆。国有资产占用情况中固定资产车辆0辆，与公务用车保有量差异原因是：我单位2023年度与2024年度均无公务用车。</w:t>
      </w:r>
    </w:p>
    <w:p w14:paraId="52BBB156">
      <w:pPr>
        <w:spacing w:after="0" w:line="560" w:lineRule="exact"/>
        <w:ind w:firstLine="640"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公务接待费0.00万元，开支内容包括我单位无公务接待费。单位全年安排的国内公务接待0批次，0人次。</w:t>
      </w:r>
    </w:p>
    <w:p w14:paraId="40A74DA7">
      <w:pPr>
        <w:spacing w:after="0" w:line="560" w:lineRule="exact"/>
        <w:ind w:firstLine="643" w:firstLineChars="200"/>
        <w:jc w:val="both"/>
        <w:rPr>
          <w:rFonts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与全年预算相比，</w:t>
      </w:r>
      <w:r>
        <w:rPr>
          <w:rFonts w:hint="eastAsia" w:ascii="仿宋_GB2312" w:hAnsi="仿宋_GB2312" w:eastAsia="仿宋_GB2312" w:cs="仿宋_GB2312"/>
          <w:sz w:val="32"/>
          <w:szCs w:val="32"/>
          <w:lang w:eastAsia="zh-CN"/>
        </w:rPr>
        <w:t>财政拨款“三公”经费支出全年预算数0.00万元</w:t>
      </w:r>
      <w:bookmarkStart w:id="0" w:name="_GoBack"/>
      <w:bookmarkEnd w:id="0"/>
      <w:r>
        <w:rPr>
          <w:rFonts w:hint="eastAsia" w:ascii="仿宋_GB2312" w:hAnsi="仿宋_GB2312" w:eastAsia="仿宋_GB2312" w:cs="仿宋_GB2312"/>
          <w:sz w:val="32"/>
          <w:szCs w:val="32"/>
          <w:lang w:eastAsia="zh-CN"/>
        </w:rPr>
        <w:t>，决算数0.00万元，预决算差异率0.00%，主要原因是：我单位2024年预算未安排财政拨款“三公”经费支出。其中：因公出国（境）费全年预算数0.00万元，决算数0.00万元，预决算差异率0.00%，主要原因是：我单位2024年预算未安排因公出国（境）费。公务用车购置费全年预算数0.00万元，决算数0.00万元，预决算差异率0.00%，主要原因是：我单位2024年预算未安排公务用车购置费。公务用车运行维护费全年预算数0.00万元，决算数0.00万元，预决算差异率0.00%，主要原因是：我单位2024年预算未安排公务用车运行维护费。公务接待费全年预算数0.00万元，决算数0.00万元，预决算差异率0.00%，主要原因是：我单位2024年预算未安排公务接待费。</w:t>
      </w:r>
    </w:p>
    <w:p w14:paraId="25571014">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29D293B1">
      <w:pPr>
        <w:spacing w:after="0" w:line="560" w:lineRule="exact"/>
        <w:ind w:firstLine="640" w:firstLineChars="200"/>
        <w:outlineLvl w:val="1"/>
        <w:rPr>
          <w:rFonts w:hint="eastAsia" w:ascii="黑体" w:eastAsia="黑体"/>
          <w:sz w:val="32"/>
          <w:szCs w:val="32"/>
          <w:lang w:eastAsia="zh-CN"/>
        </w:rPr>
      </w:pPr>
      <w:r>
        <w:rPr>
          <w:rFonts w:hint="eastAsia" w:ascii="黑体" w:eastAsia="黑体"/>
          <w:sz w:val="32"/>
          <w:szCs w:val="32"/>
          <w:lang w:eastAsia="zh-CN"/>
        </w:rPr>
        <w:t>（一）机关运行经费及公用经费支出情况</w:t>
      </w:r>
    </w:p>
    <w:p w14:paraId="705CD24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2024年度公用经费支出3.98万元，比上年减少3.93万元，下降49.68%，主要原因是：</w:t>
      </w:r>
      <w:r>
        <w:rPr>
          <w:rFonts w:hint="eastAsia" w:ascii="仿宋_GB2312" w:eastAsia="仿宋_GB2312"/>
          <w:sz w:val="32"/>
          <w:szCs w:val="32"/>
          <w:lang w:eastAsia="zh-CN"/>
        </w:rPr>
        <w:t>因积极响应“过紧日子”要求节约公用经费支出，导致公用经费较上年减少。</w:t>
      </w:r>
    </w:p>
    <w:p w14:paraId="24AC6B62">
      <w:pPr>
        <w:spacing w:after="0" w:line="560" w:lineRule="exact"/>
        <w:ind w:firstLine="640" w:firstLineChars="200"/>
        <w:outlineLvl w:val="1"/>
        <w:rPr>
          <w:rFonts w:hint="eastAsia" w:ascii="黑体" w:eastAsia="黑体"/>
          <w:sz w:val="32"/>
          <w:szCs w:val="32"/>
          <w:lang w:eastAsia="zh-CN"/>
        </w:rPr>
      </w:pPr>
      <w:r>
        <w:rPr>
          <w:rFonts w:hint="eastAsia" w:ascii="黑体" w:eastAsia="黑体"/>
          <w:sz w:val="32"/>
          <w:szCs w:val="32"/>
          <w:lang w:eastAsia="zh-CN"/>
        </w:rPr>
        <w:t>（二）政府采购情况</w:t>
      </w:r>
    </w:p>
    <w:p w14:paraId="74FCF17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2024年度政府采购支出总额0.50万元，其中：政府采购货物支出0.50万元、政府采购工程支出0.00万元、政府采购服务支出0.00万元。</w:t>
      </w:r>
    </w:p>
    <w:p w14:paraId="48FC713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授予中小企业合同金额0.50万元，占政府采购支出总额的100.00%，其中：授予小微企业合同金额0.50万元，占政府采购支出总额的100.00%。</w:t>
      </w:r>
    </w:p>
    <w:p w14:paraId="6D81D728">
      <w:pPr>
        <w:spacing w:after="0" w:line="560" w:lineRule="exact"/>
        <w:ind w:firstLine="640" w:firstLineChars="200"/>
        <w:outlineLvl w:val="1"/>
        <w:rPr>
          <w:rFonts w:hint="eastAsia" w:ascii="黑体" w:eastAsia="黑体"/>
          <w:sz w:val="32"/>
          <w:szCs w:val="32"/>
          <w:lang w:eastAsia="zh-CN"/>
        </w:rPr>
      </w:pPr>
      <w:r>
        <w:rPr>
          <w:rFonts w:hint="eastAsia" w:ascii="黑体" w:eastAsia="黑体"/>
          <w:sz w:val="32"/>
          <w:szCs w:val="32"/>
          <w:lang w:eastAsia="zh-CN"/>
        </w:rPr>
        <w:t>（三）国有资产占用情况说明</w:t>
      </w:r>
    </w:p>
    <w:p w14:paraId="0CC9F41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1台。</w:t>
      </w:r>
    </w:p>
    <w:p w14:paraId="14987BD1">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70A79C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1个，全年预算数117.00万元，全年执行数117.00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43210DFA">
      <w:pPr>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129A27C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1C6CF98">
      <w:pPr>
        <w:spacing w:after="0" w:line="560" w:lineRule="exact"/>
        <w:ind w:firstLine="640" w:firstLineChars="200"/>
        <w:rPr>
          <w:rFonts w:ascii="仿宋_GB2312" w:eastAsia="仿宋_GB2312"/>
          <w:sz w:val="32"/>
          <w:szCs w:val="32"/>
          <w:lang w:eastAsia="zh-CN"/>
        </w:rPr>
      </w:pPr>
    </w:p>
    <w:p w14:paraId="59543C55">
      <w:pPr>
        <w:spacing w:after="0" w:line="560" w:lineRule="exact"/>
        <w:rPr>
          <w:lang w:eastAsia="zh-CN"/>
        </w:rPr>
      </w:pPr>
      <w:r>
        <w:rPr>
          <w:sz w:val="0"/>
          <w:szCs w:val="0"/>
          <w:lang w:eastAsia="zh-CN"/>
        </w:rPr>
        <w:br w:type="page"/>
      </w:r>
    </w:p>
    <w:p w14:paraId="406DC56C">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w:t>
      </w:r>
      <w:r>
        <w:rPr>
          <w:rFonts w:hint="eastAsia" w:ascii="黑体" w:eastAsia="黑体"/>
          <w:sz w:val="32"/>
          <w:szCs w:val="32"/>
          <w:lang w:val="en-US" w:eastAsia="zh-CN"/>
        </w:rPr>
        <w:t xml:space="preserve"> </w:t>
      </w:r>
      <w:r>
        <w:rPr>
          <w:rFonts w:ascii="黑体" w:eastAsia="黑体"/>
          <w:sz w:val="32"/>
          <w:szCs w:val="32"/>
          <w:lang w:eastAsia="zh-CN"/>
        </w:rPr>
        <w:t>专业名词解释</w:t>
      </w:r>
    </w:p>
    <w:p w14:paraId="71E13C51">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AD0C8A0">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90C6AE9">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01544DA">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44ACCA3">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ECA5FC6">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hint="eastAsia" w:ascii="仿宋_GB2312" w:hAnsi="仿宋_GB2312" w:eastAsia="仿宋_GB2312" w:cs="仿宋_GB2312"/>
          <w:sz w:val="32"/>
          <w:szCs w:val="32"/>
          <w:lang w:eastAsia="zh-CN"/>
        </w:rPr>
        <w:t>指除上述“财政拨款收入”、“事业收入”、“经营收入”、“附属单位上缴收入”等之外取得的收入</w:t>
      </w:r>
      <w:r>
        <w:rPr>
          <w:rFonts w:ascii="仿宋_GB2312" w:eastAsia="仿宋_GB2312"/>
          <w:sz w:val="32"/>
          <w:szCs w:val="32"/>
          <w:lang w:eastAsia="zh-CN"/>
        </w:rPr>
        <w:t>。</w:t>
      </w:r>
    </w:p>
    <w:p w14:paraId="7B6AC1E3">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23B3A3A">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9BF37F">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647EAE7">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01A0135">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4D79F5C">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EAF409C">
      <w:pPr>
        <w:spacing w:after="0" w:line="560" w:lineRule="exact"/>
        <w:ind w:firstLine="643" w:firstLineChars="200"/>
        <w:rPr>
          <w:rFonts w:ascii="仿宋_GB2312" w:eastAsia="仿宋_GB2312"/>
          <w:sz w:val="32"/>
          <w:szCs w:val="32"/>
          <w:lang w:eastAsia="zh-CN"/>
        </w:rPr>
      </w:pPr>
      <w:r>
        <w:rPr>
          <w:rFonts w:hint="eastAsia" w:ascii="仿宋_GB2312" w:hAnsi="仿宋_GB2312" w:eastAsia="仿宋_GB2312" w:cs="仿宋_GB2312"/>
          <w:b/>
          <w:sz w:val="32"/>
          <w:szCs w:val="32"/>
          <w:lang w:eastAsia="zh-CN"/>
        </w:rPr>
        <w:t>十三、“三公”经费：</w:t>
      </w:r>
      <w:r>
        <w:rPr>
          <w:rFonts w:hint="eastAsia" w:ascii="仿宋_GB2312" w:hAnsi="仿宋_GB2312" w:eastAsia="仿宋_GB2312" w:cs="仿宋_GB2312"/>
          <w:sz w:val="32"/>
          <w:szCs w:val="32"/>
          <w:lang w:eastAsia="zh-CN"/>
        </w:rPr>
        <w:t>指用财政拨款安排的因公出国（境）</w:t>
      </w:r>
      <w:r>
        <w:rPr>
          <w:rFonts w:ascii="仿宋_GB2312" w:eastAsia="仿宋_GB2312"/>
          <w:sz w:val="32"/>
          <w:szCs w:val="32"/>
          <w:lang w:eastAsia="zh-CN"/>
        </w:rPr>
        <w:t>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B61FC0">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CA1B36E">
      <w:pPr>
        <w:spacing w:after="0" w:line="560" w:lineRule="exact"/>
        <w:rPr>
          <w:lang w:eastAsia="zh-CN"/>
        </w:rPr>
      </w:pPr>
      <w:r>
        <w:rPr>
          <w:sz w:val="0"/>
          <w:szCs w:val="0"/>
          <w:lang w:eastAsia="zh-CN"/>
        </w:rPr>
        <w:br w:type="page"/>
      </w:r>
    </w:p>
    <w:p w14:paraId="791C03B9">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w:t>
      </w:r>
      <w:r>
        <w:rPr>
          <w:rFonts w:hint="eastAsia" w:ascii="黑体" w:eastAsia="黑体"/>
          <w:sz w:val="32"/>
          <w:szCs w:val="32"/>
          <w:lang w:val="en-US" w:eastAsia="zh-CN"/>
        </w:rPr>
        <w:t xml:space="preserve"> </w:t>
      </w:r>
      <w:r>
        <w:rPr>
          <w:rFonts w:ascii="黑体" w:eastAsia="黑体"/>
          <w:sz w:val="32"/>
          <w:szCs w:val="32"/>
          <w:lang w:eastAsia="zh-CN"/>
        </w:rPr>
        <w:t>部门决算报表（见附表）</w:t>
      </w:r>
    </w:p>
    <w:p w14:paraId="79D597F6">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6538739">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FC13D7B">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FC1083B">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6CE32DA">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9ADB188">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E7B4718">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6C197AA">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E12662">
      <w:pPr>
        <w:spacing w:after="0" w:line="560" w:lineRule="exact"/>
        <w:ind w:firstLine="640" w:firstLineChars="200"/>
        <w:outlineLvl w:val="1"/>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472BC4"/>
    <w:rsid w:val="002204B0"/>
    <w:rsid w:val="00221613"/>
    <w:rsid w:val="00472BC4"/>
    <w:rsid w:val="005136D2"/>
    <w:rsid w:val="00560E07"/>
    <w:rsid w:val="007C22BF"/>
    <w:rsid w:val="009E5062"/>
    <w:rsid w:val="00BD088F"/>
    <w:rsid w:val="0A502666"/>
    <w:rsid w:val="4B6718A3"/>
    <w:rsid w:val="55151BDB"/>
    <w:rsid w:val="57734C96"/>
    <w:rsid w:val="5CFE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4771</Words>
  <Characters>5310</Characters>
  <Lines>39</Lines>
  <Paragraphs>11</Paragraphs>
  <TotalTime>34</TotalTime>
  <ScaleCrop>false</ScaleCrop>
  <LinksUpToDate>false</LinksUpToDate>
  <CharactersWithSpaces>5319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2025-08-21T09:46:00Z</dcterms:created>
  <dc:creator>Lenovo</dc:creator>
  <cp:lastModifiedBy>晶</cp:lastModifiedBy>
  <dcterms:modified xsi:type="dcterms:W3CDTF">2025-08-25T03:01:09Z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eyJoZGlkIjoiODFkN2IxNDhjZjg5NmQ2NGM2MDc2OTFlNWI4MDU2NDUiLCJ1c2VySWQiOiIyMzk3MjgxNjgifQ==</vt:lpwstr>
  </property>
  <property fmtid="{D5CDD505-2E9C-101B-9397-08002B2CF9AE}" pid="3" name="KSOProductBuildVer">
    <vt:lpwstr>2052-12.1.0.22529</vt:lpwstr>
  </property>
  <property fmtid="{D5CDD505-2E9C-101B-9397-08002B2CF9AE}" pid="4" name="ICV">
    <vt:lpwstr>927A650622E743349BA7AEF1D6A70D5E_12</vt:lpwstr>
  </property>
</Properties>
</file>