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F1DC60">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宋体" w:eastAsia="宋体"/>
          <w:sz w:val="32"/>
          <w:szCs w:val="32"/>
        </w:rPr>
      </w:pPr>
    </w:p>
    <w:p w14:paraId="3C6B5D86">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宋体" w:eastAsia="宋体"/>
          <w:sz w:val="44"/>
          <w:szCs w:val="44"/>
        </w:rPr>
      </w:pPr>
    </w:p>
    <w:p w14:paraId="6906949D">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宋体" w:eastAsia="宋体"/>
          <w:sz w:val="44"/>
          <w:szCs w:val="44"/>
        </w:rPr>
      </w:pPr>
    </w:p>
    <w:p w14:paraId="0C811E09">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宋体" w:eastAsia="宋体"/>
          <w:sz w:val="44"/>
          <w:szCs w:val="44"/>
        </w:rPr>
      </w:pPr>
    </w:p>
    <w:p w14:paraId="23E25B36">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outlineLvl w:val="0"/>
        <w:rPr>
          <w:rFonts w:ascii="宋体" w:eastAsia="黑体"/>
          <w:sz w:val="44"/>
          <w:szCs w:val="44"/>
        </w:rPr>
      </w:pPr>
      <w:r>
        <w:rPr>
          <w:rFonts w:ascii="宋体" w:eastAsia="黑体"/>
          <w:b w:val="0"/>
          <w:sz w:val="44"/>
          <w:szCs w:val="44"/>
        </w:rPr>
        <w:t>新疆林业科学院现代林业研究所</w:t>
      </w:r>
    </w:p>
    <w:p w14:paraId="3C7E2A3D">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outlineLvl w:val="0"/>
        <w:rPr>
          <w:rFonts w:ascii="黑体" w:eastAsia="黑体"/>
          <w:sz w:val="44"/>
          <w:szCs w:val="44"/>
        </w:rPr>
      </w:pPr>
      <w:r>
        <w:rPr>
          <w:rFonts w:ascii="黑体" w:eastAsia="黑体"/>
          <w:b w:val="0"/>
          <w:sz w:val="44"/>
          <w:szCs w:val="44"/>
        </w:rPr>
        <w:t>2024年度部门决算公开说明</w:t>
      </w:r>
    </w:p>
    <w:p w14:paraId="14F67ED8">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14:paraId="1D81010C">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rPr>
          <w:rFonts w:ascii="黑体" w:eastAsia="黑体"/>
          <w:sz w:val="32"/>
          <w:szCs w:val="32"/>
        </w:rPr>
      </w:pPr>
      <w:r>
        <w:rPr>
          <w:rFonts w:ascii="黑体" w:eastAsia="黑体"/>
          <w:b/>
          <w:sz w:val="32"/>
          <w:szCs w:val="32"/>
        </w:rPr>
        <w:t>目</w:t>
      </w:r>
      <w:r>
        <w:rPr>
          <w:rFonts w:hint="eastAsia" w:ascii="黑体" w:eastAsia="黑体"/>
          <w:b/>
          <w:sz w:val="32"/>
          <w:szCs w:val="32"/>
          <w:lang w:val="en-US" w:eastAsia="zh-CN"/>
        </w:rPr>
        <w:t xml:space="preserve"> </w:t>
      </w:r>
      <w:r>
        <w:rPr>
          <w:rFonts w:ascii="黑体" w:eastAsia="黑体"/>
          <w:b/>
          <w:sz w:val="32"/>
          <w:szCs w:val="32"/>
        </w:rPr>
        <w:t>录</w:t>
      </w:r>
    </w:p>
    <w:p w14:paraId="20BDAA1C">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sz w:val="32"/>
          <w:szCs w:val="32"/>
        </w:rPr>
        <w:t>第一部分</w:t>
      </w:r>
      <w:r>
        <w:rPr>
          <w:rFonts w:hint="eastAsia" w:ascii="仿宋_GB2312" w:eastAsia="仿宋_GB2312"/>
          <w:b/>
          <w:sz w:val="32"/>
          <w:szCs w:val="32"/>
          <w:lang w:val="en-US" w:eastAsia="zh-CN"/>
        </w:rPr>
        <w:t xml:space="preserve"> </w:t>
      </w:r>
      <w:r>
        <w:rPr>
          <w:rFonts w:ascii="仿宋_GB2312" w:eastAsia="仿宋_GB2312"/>
          <w:b/>
          <w:sz w:val="32"/>
          <w:szCs w:val="32"/>
        </w:rPr>
        <w:t>单位概况</w:t>
      </w:r>
    </w:p>
    <w:p w14:paraId="51744A89">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一、主要职能</w:t>
      </w:r>
    </w:p>
    <w:p w14:paraId="740DB877">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二、机构设置及人员情况</w:t>
      </w:r>
    </w:p>
    <w:p w14:paraId="318DAC20">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sz w:val="32"/>
          <w:szCs w:val="32"/>
        </w:rPr>
        <w:t>第二部分</w:t>
      </w:r>
      <w:r>
        <w:rPr>
          <w:rFonts w:hint="eastAsia" w:ascii="仿宋_GB2312" w:eastAsia="仿宋_GB2312"/>
          <w:b/>
          <w:sz w:val="32"/>
          <w:szCs w:val="32"/>
          <w:lang w:val="en-US" w:eastAsia="zh-CN"/>
        </w:rPr>
        <w:t xml:space="preserve"> </w:t>
      </w:r>
      <w:r>
        <w:rPr>
          <w:rFonts w:ascii="仿宋_GB2312" w:eastAsia="仿宋_GB2312"/>
          <w:b/>
          <w:sz w:val="32"/>
          <w:szCs w:val="32"/>
        </w:rPr>
        <w:t>部门决算情况说明</w:t>
      </w:r>
    </w:p>
    <w:p w14:paraId="2BA786A9">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一、收入支出决算总体情况说明</w:t>
      </w:r>
    </w:p>
    <w:p w14:paraId="170DEF55">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二、收入决算情况说明</w:t>
      </w:r>
    </w:p>
    <w:p w14:paraId="7C6C7DD4">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三、支出决算情况说明</w:t>
      </w:r>
    </w:p>
    <w:p w14:paraId="26BB03F2">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四、财政拨款收入支出决算总体情况说明</w:t>
      </w:r>
    </w:p>
    <w:p w14:paraId="1901C300">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五、一般公共预算财政拨款支出决算情况说明</w:t>
      </w:r>
    </w:p>
    <w:p w14:paraId="763C8CB8">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（一）一般公共预算财政拨款支出决算总体情况</w:t>
      </w:r>
    </w:p>
    <w:p w14:paraId="6E2B7D80">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（二）一般公共预算财政拨款支出决算结构情况</w:t>
      </w:r>
    </w:p>
    <w:p w14:paraId="365DC410">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（三）一般公共预算财政拨款支出决算具体情况</w:t>
      </w:r>
    </w:p>
    <w:p w14:paraId="4A61ECFF">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六、一般公共预算财政拨款基本支出决算情况说明</w:t>
      </w:r>
    </w:p>
    <w:p w14:paraId="3708EC3E">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七、政府性基金预算财政拨款收入支出决算情况说明</w:t>
      </w:r>
    </w:p>
    <w:p w14:paraId="47ADCFA1">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八、国有资本经营预算财政拨款收入支出决算情况说明</w:t>
      </w:r>
    </w:p>
    <w:p w14:paraId="230D49FC">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九、财政拨款</w:t>
      </w:r>
      <w:r>
        <w:rPr>
          <w:rFonts w:hint="eastAsia" w:ascii="仿宋_GB2312" w:eastAsia="仿宋_GB2312"/>
          <w:b w:val="0"/>
          <w:sz w:val="32"/>
          <w:szCs w:val="32"/>
          <w:lang w:eastAsia="zh-CN"/>
        </w:rPr>
        <w:t>“</w:t>
      </w:r>
      <w:r>
        <w:rPr>
          <w:rFonts w:ascii="仿宋_GB2312" w:eastAsia="仿宋_GB2312"/>
          <w:b w:val="0"/>
          <w:sz w:val="32"/>
          <w:szCs w:val="32"/>
        </w:rPr>
        <w:t>三公</w:t>
      </w:r>
      <w:r>
        <w:rPr>
          <w:rFonts w:hint="eastAsia" w:ascii="仿宋_GB2312" w:eastAsia="仿宋_GB2312"/>
          <w:b w:val="0"/>
          <w:sz w:val="32"/>
          <w:szCs w:val="32"/>
          <w:lang w:eastAsia="zh-CN"/>
        </w:rPr>
        <w:t>”</w:t>
      </w:r>
      <w:r>
        <w:rPr>
          <w:rFonts w:ascii="仿宋_GB2312" w:eastAsia="仿宋_GB2312"/>
          <w:b w:val="0"/>
          <w:sz w:val="32"/>
          <w:szCs w:val="32"/>
        </w:rPr>
        <w:t>经费支出决算情况说明</w:t>
      </w:r>
    </w:p>
    <w:p w14:paraId="3CCADD00">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十、其他重要事项的情况说明</w:t>
      </w:r>
    </w:p>
    <w:p w14:paraId="16E154B1">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（一）机关运行经费及公用经费支出情况</w:t>
      </w:r>
    </w:p>
    <w:p w14:paraId="0978A5D7">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（二）政府采购情况</w:t>
      </w:r>
    </w:p>
    <w:p w14:paraId="2E71B673">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（三）国有资产占用情况说明</w:t>
      </w:r>
    </w:p>
    <w:p w14:paraId="4B53728F">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十一、预算绩效的情况说明</w:t>
      </w:r>
    </w:p>
    <w:p w14:paraId="7A6AEA07">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十二、其他需说明的事项</w:t>
      </w:r>
    </w:p>
    <w:p w14:paraId="776DD339">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sz w:val="32"/>
          <w:szCs w:val="32"/>
        </w:rPr>
        <w:t>第三部分</w:t>
      </w:r>
      <w:r>
        <w:rPr>
          <w:rFonts w:hint="eastAsia" w:ascii="仿宋_GB2312" w:eastAsia="仿宋_GB2312"/>
          <w:b/>
          <w:sz w:val="32"/>
          <w:szCs w:val="32"/>
          <w:lang w:val="en-US" w:eastAsia="zh-CN"/>
        </w:rPr>
        <w:t xml:space="preserve"> </w:t>
      </w:r>
      <w:r>
        <w:rPr>
          <w:rFonts w:ascii="仿宋_GB2312" w:eastAsia="仿宋_GB2312"/>
          <w:b/>
          <w:sz w:val="32"/>
          <w:szCs w:val="32"/>
        </w:rPr>
        <w:t>专业名词解释</w:t>
      </w:r>
    </w:p>
    <w:p w14:paraId="1A1453E1">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sz w:val="32"/>
          <w:szCs w:val="32"/>
        </w:rPr>
        <w:t>第四部分</w:t>
      </w:r>
      <w:r>
        <w:rPr>
          <w:rFonts w:hint="eastAsia" w:ascii="仿宋_GB2312" w:eastAsia="仿宋_GB2312"/>
          <w:b/>
          <w:sz w:val="32"/>
          <w:szCs w:val="32"/>
          <w:lang w:val="en-US" w:eastAsia="zh-CN"/>
        </w:rPr>
        <w:t xml:space="preserve"> </w:t>
      </w:r>
      <w:r>
        <w:rPr>
          <w:rFonts w:ascii="仿宋_GB2312" w:eastAsia="仿宋_GB2312"/>
          <w:b/>
          <w:sz w:val="32"/>
          <w:szCs w:val="32"/>
        </w:rPr>
        <w:t>部门决算报表（见附表）</w:t>
      </w:r>
    </w:p>
    <w:p w14:paraId="43FFB568">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一、《收入支出决算总表》</w:t>
      </w:r>
    </w:p>
    <w:p w14:paraId="46EA6B00">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二、《收入决算表》</w:t>
      </w:r>
    </w:p>
    <w:p w14:paraId="405B73D0">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三、《支出决算表》</w:t>
      </w:r>
    </w:p>
    <w:p w14:paraId="3B63DD55">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四、《财政拨款收入支出决算总表》</w:t>
      </w:r>
    </w:p>
    <w:p w14:paraId="390D66EE">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五、《一般公共预算财政拨款支出决算表》</w:t>
      </w:r>
    </w:p>
    <w:p w14:paraId="65BAE78F">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六、《一般公共预算财政拨款基本支出决算表》</w:t>
      </w:r>
    </w:p>
    <w:p w14:paraId="1EC1F393">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七、《政府性基金预算财政拨款收入支出决算表》</w:t>
      </w:r>
    </w:p>
    <w:p w14:paraId="3F76AAF4">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八、《国有资本经营预算财政拨款收入支出决算表》</w:t>
      </w:r>
    </w:p>
    <w:p w14:paraId="31A80618">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rPr>
          <w:rFonts w:ascii="仿宋_GB2312" w:eastAsia="仿宋_GB2312"/>
          <w:sz w:val="32"/>
          <w:szCs w:val="32"/>
        </w:rPr>
      </w:pPr>
      <w:r>
        <w:rPr>
          <w:rFonts w:ascii="仿宋_GB2312" w:eastAsia="仿宋_GB2312"/>
          <w:b w:val="0"/>
          <w:sz w:val="32"/>
          <w:szCs w:val="32"/>
        </w:rPr>
        <w:t>九、《财政拨款</w:t>
      </w:r>
      <w:r>
        <w:rPr>
          <w:rFonts w:hint="eastAsia" w:ascii="仿宋_GB2312" w:eastAsia="仿宋_GB2312"/>
          <w:b w:val="0"/>
          <w:sz w:val="32"/>
          <w:szCs w:val="32"/>
          <w:lang w:eastAsia="zh-CN"/>
        </w:rPr>
        <w:t>“</w:t>
      </w:r>
      <w:r>
        <w:rPr>
          <w:rFonts w:ascii="仿宋_GB2312" w:eastAsia="仿宋_GB2312"/>
          <w:b w:val="0"/>
          <w:sz w:val="32"/>
          <w:szCs w:val="32"/>
        </w:rPr>
        <w:t>三公</w:t>
      </w:r>
      <w:r>
        <w:rPr>
          <w:rFonts w:hint="eastAsia" w:ascii="仿宋_GB2312" w:eastAsia="仿宋_GB2312"/>
          <w:b w:val="0"/>
          <w:sz w:val="32"/>
          <w:szCs w:val="32"/>
          <w:lang w:eastAsia="zh-CN"/>
        </w:rPr>
        <w:t>”</w:t>
      </w:r>
      <w:r>
        <w:rPr>
          <w:rFonts w:ascii="仿宋_GB2312" w:eastAsia="仿宋_GB2312"/>
          <w:b w:val="0"/>
          <w:sz w:val="32"/>
          <w:szCs w:val="32"/>
        </w:rPr>
        <w:t>经费支出决算表》</w:t>
      </w:r>
    </w:p>
    <w:p w14:paraId="709DA9A2">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14:paraId="7600283F">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outlineLvl w:val="0"/>
        <w:rPr>
          <w:rFonts w:ascii="黑体" w:eastAsia="黑体"/>
          <w:sz w:val="32"/>
          <w:szCs w:val="32"/>
        </w:rPr>
      </w:pPr>
      <w:r>
        <w:rPr>
          <w:rFonts w:ascii="黑体" w:eastAsia="黑体"/>
          <w:b w:val="0"/>
          <w:sz w:val="32"/>
          <w:szCs w:val="32"/>
        </w:rPr>
        <w:t>第一部分</w:t>
      </w:r>
      <w:r>
        <w:rPr>
          <w:rFonts w:hint="eastAsia" w:ascii="黑体" w:eastAsia="黑体"/>
          <w:b w:val="0"/>
          <w:sz w:val="32"/>
          <w:szCs w:val="32"/>
          <w:lang w:val="en-US" w:eastAsia="zh-CN"/>
        </w:rPr>
        <w:t xml:space="preserve"> </w:t>
      </w:r>
      <w:r>
        <w:rPr>
          <w:rFonts w:ascii="黑体" w:eastAsia="黑体"/>
          <w:b w:val="0"/>
          <w:sz w:val="32"/>
          <w:szCs w:val="32"/>
        </w:rPr>
        <w:t>单位概况</w:t>
      </w:r>
    </w:p>
    <w:p w14:paraId="298A12A0">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一、主要职能</w:t>
      </w:r>
    </w:p>
    <w:p w14:paraId="08ACFC85">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1.承担现代林业新技术研究及现代林业发展理论，林业宏观发展政策、战略及宏观布局研究；</w:t>
      </w:r>
    </w:p>
    <w:p w14:paraId="44475670">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2.承担森林碳汇、生物质能源、林业宏观经济、林业宏观监测体系及方法研究等工作。</w:t>
      </w:r>
    </w:p>
    <w:p w14:paraId="1EFA010D">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二、机构设置及人员情况</w:t>
      </w:r>
    </w:p>
    <w:p w14:paraId="3977C2CF">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新疆林业科学院现代林业研究所2024年度，实有人数15人，其中：在职人员14人，较上年无变化；离休人员0人，较上年无变化；退休人员1人，较上年无变化；</w:t>
      </w:r>
    </w:p>
    <w:p w14:paraId="07459BD6">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新疆林业科学院现代林业研究所无下属预算单位，下设4个</w:t>
      </w:r>
      <w:r>
        <w:rPr>
          <w:rFonts w:hint="eastAsia" w:ascii="仿宋_GB2312" w:eastAsia="仿宋_GB2312"/>
          <w:b w:val="0"/>
          <w:sz w:val="32"/>
          <w:szCs w:val="32"/>
          <w:lang w:eastAsia="zh-CN"/>
        </w:rPr>
        <w:t>科室</w:t>
      </w:r>
      <w:r>
        <w:rPr>
          <w:rFonts w:ascii="仿宋_GB2312" w:eastAsia="仿宋_GB2312"/>
          <w:b w:val="0"/>
          <w:sz w:val="32"/>
          <w:szCs w:val="32"/>
        </w:rPr>
        <w:t>，分别是：综合办公室、林业可持续发展室、数字林业室、林业遥感室。</w:t>
      </w:r>
    </w:p>
    <w:p w14:paraId="2A7403EC">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黑体" w:eastAsia="黑体"/>
          <w:sz w:val="32"/>
          <w:szCs w:val="32"/>
        </w:rPr>
      </w:pPr>
      <w:r>
        <w:rPr>
          <w:b w:val="0"/>
          <w:sz w:val="0"/>
          <w:szCs w:val="0"/>
        </w:rPr>
        <w:br w:type="page"/>
      </w:r>
      <w:r>
        <w:rPr>
          <w:rFonts w:ascii="黑体" w:eastAsia="黑体"/>
          <w:b w:val="0"/>
          <w:sz w:val="32"/>
          <w:szCs w:val="32"/>
        </w:rPr>
        <w:t>第二部分</w:t>
      </w:r>
      <w:r>
        <w:rPr>
          <w:rFonts w:hint="eastAsia" w:ascii="黑体" w:eastAsia="黑体"/>
          <w:b w:val="0"/>
          <w:sz w:val="32"/>
          <w:szCs w:val="32"/>
          <w:lang w:val="en-US" w:eastAsia="zh-CN"/>
        </w:rPr>
        <w:t xml:space="preserve"> </w:t>
      </w:r>
      <w:r>
        <w:rPr>
          <w:rFonts w:ascii="黑体" w:eastAsia="黑体"/>
          <w:b w:val="0"/>
          <w:sz w:val="32"/>
          <w:szCs w:val="32"/>
        </w:rPr>
        <w:t>部门决算情况说明</w:t>
      </w:r>
    </w:p>
    <w:p w14:paraId="43530269">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一、收入支出决算总体情况说明</w:t>
      </w:r>
    </w:p>
    <w:p w14:paraId="0BC51E17">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2024年度收入总计2,370.26万元，</w:t>
      </w:r>
      <w:r>
        <w:rPr>
          <w:rFonts w:ascii="仿宋_GB2312" w:eastAsia="仿宋_GB2312"/>
          <w:b w:val="0"/>
          <w:sz w:val="32"/>
          <w:szCs w:val="32"/>
        </w:rPr>
        <w:t>其中：本年收入合计1,831.91万元，使用非财政拨款结余（含专用结余）0.00万元，年初结转和结余538.35万元。</w:t>
      </w:r>
    </w:p>
    <w:p w14:paraId="3A3F02E2">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2024年度支出总计2,370.26万元，</w:t>
      </w:r>
      <w:r>
        <w:rPr>
          <w:rFonts w:ascii="仿宋_GB2312" w:eastAsia="仿宋_GB2312"/>
          <w:b w:val="0"/>
          <w:sz w:val="32"/>
          <w:szCs w:val="32"/>
        </w:rPr>
        <w:t>其中：本年支出合计1,629.22万元，结余分配0.00万元，年末结转和结余741.04万元。</w:t>
      </w:r>
    </w:p>
    <w:p w14:paraId="08783487">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收入支出总体与上年相比，</w:t>
      </w:r>
      <w:r>
        <w:rPr>
          <w:rFonts w:ascii="仿宋_GB2312" w:eastAsia="仿宋_GB2312"/>
          <w:b w:val="0"/>
          <w:sz w:val="32"/>
          <w:szCs w:val="32"/>
        </w:rPr>
        <w:t>增加1,086.45万元，增长84.63%，主要原因是：因工资普调、社保基数上涨，人员经费较上年增加；当年追加财政拨款项目和横向课题项目。</w:t>
      </w:r>
    </w:p>
    <w:p w14:paraId="20E34DDE">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二、收入决算情况说明</w:t>
      </w:r>
    </w:p>
    <w:p w14:paraId="334F5086">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本年收入1,831.91万元，</w:t>
      </w:r>
      <w:r>
        <w:rPr>
          <w:rFonts w:ascii="仿宋_GB2312" w:eastAsia="仿宋_GB2312"/>
          <w:b w:val="0"/>
          <w:sz w:val="32"/>
          <w:szCs w:val="32"/>
        </w:rPr>
        <w:t>其中：财政拨款收入400.20万元,占21.85%；上级补助收入0.00万元,占0.00%；事业收入1,430.30万元，占78.08%；经营收入0.00万元,占0.00%；附属单位上缴收入0.00万元，占0.00%；其他收入1.41万元，占0.08%。</w:t>
      </w:r>
    </w:p>
    <w:p w14:paraId="662AE9B2">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三、支出决算情况说明</w:t>
      </w:r>
    </w:p>
    <w:p w14:paraId="63BB0E01">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本年支出1,629.22万元，</w:t>
      </w:r>
      <w:r>
        <w:rPr>
          <w:rFonts w:ascii="仿宋_GB2312" w:eastAsia="仿宋_GB2312"/>
          <w:b w:val="0"/>
          <w:sz w:val="32"/>
          <w:szCs w:val="32"/>
        </w:rPr>
        <w:t>其中：基本支出309.44万元，占18.99%；项目支出1,319.78万元，占81.01%；上缴上级支出0.00万元，占0.00%；经营支出0.00万元，占0.00%；对附属单位补助支出0.00万元，占0.00%。</w:t>
      </w:r>
    </w:p>
    <w:p w14:paraId="14C1F114">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四、财政拨款收入支出决算总体情况说明</w:t>
      </w:r>
    </w:p>
    <w:p w14:paraId="13D3DC45">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2024年度财政拨款收入总计409.02万元，</w:t>
      </w:r>
      <w:r>
        <w:rPr>
          <w:rFonts w:ascii="仿宋_GB2312" w:eastAsia="仿宋_GB2312"/>
          <w:b w:val="0"/>
          <w:sz w:val="32"/>
          <w:szCs w:val="32"/>
        </w:rPr>
        <w:t>其中：年初财政拨款结转和结余8.82万元，本年财政拨款收入400.20万元。</w:t>
      </w:r>
      <w:r>
        <w:rPr>
          <w:rFonts w:ascii="仿宋_GB2312" w:eastAsia="仿宋_GB2312"/>
          <w:b/>
          <w:bCs/>
          <w:sz w:val="32"/>
          <w:szCs w:val="32"/>
        </w:rPr>
        <w:t>财政拨款支出总计409.02万元，</w:t>
      </w:r>
      <w:r>
        <w:rPr>
          <w:rFonts w:ascii="仿宋_GB2312" w:eastAsia="仿宋_GB2312"/>
          <w:b w:val="0"/>
          <w:sz w:val="32"/>
          <w:szCs w:val="32"/>
        </w:rPr>
        <w:t>其中：年末财政拨款结转和结余0.00万元，本年财政拨款支出409.02万元。</w:t>
      </w:r>
    </w:p>
    <w:p w14:paraId="2BBF6A37">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财政拨款收入支出总体与上年相比，</w:t>
      </w:r>
      <w:r>
        <w:rPr>
          <w:rFonts w:ascii="仿宋_GB2312" w:eastAsia="仿宋_GB2312"/>
          <w:b w:val="0"/>
          <w:sz w:val="32"/>
          <w:szCs w:val="32"/>
        </w:rPr>
        <w:t>增加83.61万元，增长25.69%，主要原因是：因工资普调、社保基数上涨，人员经费较上年增加；新增</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三区</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人才等</w:t>
      </w:r>
      <w:r>
        <w:rPr>
          <w:rFonts w:ascii="仿宋_GB2312" w:eastAsia="仿宋_GB2312"/>
          <w:b w:val="0"/>
          <w:sz w:val="32"/>
          <w:szCs w:val="32"/>
        </w:rPr>
        <w:t>财政拨款项目。</w:t>
      </w:r>
      <w:r>
        <w:rPr>
          <w:rFonts w:ascii="仿宋_GB2312" w:eastAsia="仿宋_GB2312"/>
          <w:b/>
          <w:bCs/>
          <w:sz w:val="32"/>
          <w:szCs w:val="32"/>
        </w:rPr>
        <w:t>与年初预算相比，</w:t>
      </w:r>
      <w:r>
        <w:rPr>
          <w:rFonts w:ascii="仿宋_GB2312" w:eastAsia="仿宋_GB2312"/>
          <w:b w:val="0"/>
          <w:sz w:val="32"/>
          <w:szCs w:val="32"/>
        </w:rPr>
        <w:t>年初预算数377.75万元，决算数409.02万元，预决算差异率8.28%，主要原因是：追加在职人员政策性增资</w:t>
      </w:r>
      <w:r>
        <w:rPr>
          <w:rFonts w:hint="eastAsia" w:ascii="仿宋_GB2312" w:eastAsia="仿宋_GB2312"/>
          <w:b w:val="0"/>
          <w:sz w:val="32"/>
          <w:szCs w:val="32"/>
          <w:lang w:eastAsia="zh-CN"/>
        </w:rPr>
        <w:t>，因此</w:t>
      </w:r>
      <w:r>
        <w:rPr>
          <w:rFonts w:ascii="仿宋_GB2312" w:eastAsia="仿宋_GB2312"/>
          <w:b w:val="0"/>
          <w:sz w:val="32"/>
          <w:szCs w:val="32"/>
        </w:rPr>
        <w:t>财政拨款收入支出</w:t>
      </w:r>
      <w:r>
        <w:rPr>
          <w:rFonts w:hint="eastAsia" w:ascii="仿宋_GB2312" w:eastAsia="仿宋_GB2312"/>
          <w:b w:val="0"/>
          <w:sz w:val="32"/>
          <w:szCs w:val="32"/>
          <w:lang w:eastAsia="zh-CN"/>
        </w:rPr>
        <w:t>较上年增长</w:t>
      </w:r>
      <w:r>
        <w:rPr>
          <w:rFonts w:ascii="仿宋_GB2312" w:eastAsia="仿宋_GB2312"/>
          <w:b w:val="0"/>
          <w:sz w:val="32"/>
          <w:szCs w:val="32"/>
        </w:rPr>
        <w:t>。</w:t>
      </w:r>
    </w:p>
    <w:p w14:paraId="0E89FEF3">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五、一般公共预算财政拨款支出决算情况说明</w:t>
      </w:r>
    </w:p>
    <w:p w14:paraId="44A3313B">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2"/>
        <w:rPr>
          <w:rFonts w:ascii="黑体" w:eastAsia="黑体"/>
          <w:b w:val="0"/>
          <w:bCs/>
          <w:sz w:val="32"/>
          <w:szCs w:val="32"/>
        </w:rPr>
      </w:pPr>
      <w:r>
        <w:rPr>
          <w:rFonts w:ascii="黑体" w:eastAsia="黑体"/>
          <w:b w:val="0"/>
          <w:bCs/>
          <w:sz w:val="32"/>
          <w:szCs w:val="32"/>
        </w:rPr>
        <w:t>（一）一般公共预算财政拨款支出决算总体情况</w:t>
      </w:r>
    </w:p>
    <w:p w14:paraId="67C0C63E">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2024年度一般公共预算财政拨款支出409.02万元，</w:t>
      </w:r>
      <w:r>
        <w:rPr>
          <w:rFonts w:ascii="仿宋_GB2312" w:eastAsia="仿宋_GB2312"/>
          <w:b w:val="0"/>
          <w:sz w:val="32"/>
          <w:szCs w:val="32"/>
        </w:rPr>
        <w:t>占本年支出合计的25.11%。</w:t>
      </w:r>
      <w:r>
        <w:rPr>
          <w:rFonts w:ascii="仿宋_GB2312" w:eastAsia="仿宋_GB2312"/>
          <w:b/>
          <w:bCs/>
          <w:sz w:val="32"/>
          <w:szCs w:val="32"/>
        </w:rPr>
        <w:t>与上年相比，</w:t>
      </w:r>
      <w:r>
        <w:rPr>
          <w:rFonts w:ascii="仿宋_GB2312" w:eastAsia="仿宋_GB2312"/>
          <w:b w:val="0"/>
          <w:sz w:val="32"/>
          <w:szCs w:val="32"/>
        </w:rPr>
        <w:t>增加92.44万元，增长29.20%，主要原因是：因工资普调、社保基数上涨，人员经费较上年增加；新增</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三区</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人才等</w:t>
      </w:r>
      <w:r>
        <w:rPr>
          <w:rFonts w:ascii="仿宋_GB2312" w:eastAsia="仿宋_GB2312"/>
          <w:b w:val="0"/>
          <w:sz w:val="32"/>
          <w:szCs w:val="32"/>
        </w:rPr>
        <w:t>财政拨款项目。</w:t>
      </w:r>
      <w:r>
        <w:rPr>
          <w:rFonts w:ascii="仿宋_GB2312" w:eastAsia="仿宋_GB2312"/>
          <w:b/>
          <w:bCs/>
          <w:sz w:val="32"/>
          <w:szCs w:val="32"/>
        </w:rPr>
        <w:t>与年初预算相比，</w:t>
      </w:r>
      <w:r>
        <w:rPr>
          <w:rFonts w:ascii="仿宋_GB2312" w:eastAsia="仿宋_GB2312"/>
          <w:b w:val="0"/>
          <w:sz w:val="32"/>
          <w:szCs w:val="32"/>
        </w:rPr>
        <w:t>年初预算数377.75万元，决算数409.02万元，预决算差异率8.28%，主要原因是：预算执行中追加了2023年年度考核奖、2024年调增基本工资。</w:t>
      </w:r>
    </w:p>
    <w:p w14:paraId="1785293B">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2"/>
        <w:rPr>
          <w:rFonts w:ascii="黑体" w:eastAsia="黑体"/>
          <w:b w:val="0"/>
          <w:bCs/>
          <w:sz w:val="32"/>
          <w:szCs w:val="32"/>
        </w:rPr>
      </w:pPr>
      <w:r>
        <w:rPr>
          <w:rFonts w:ascii="黑体" w:eastAsia="黑体"/>
          <w:b w:val="0"/>
          <w:bCs/>
          <w:sz w:val="32"/>
          <w:szCs w:val="32"/>
        </w:rPr>
        <w:t>（二）一般公共预算财政拨款支出决算结构情况</w:t>
      </w:r>
    </w:p>
    <w:p w14:paraId="30E82E26">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科学技术支出（类）319.02万元，占78.00%。</w:t>
      </w:r>
    </w:p>
    <w:p w14:paraId="58E9CD1A">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农林水支出（类）90.00万元，占22.00%。</w:t>
      </w:r>
    </w:p>
    <w:p w14:paraId="4287724A">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2"/>
        <w:rPr>
          <w:rFonts w:ascii="黑体" w:eastAsia="黑体"/>
          <w:b w:val="0"/>
          <w:bCs/>
          <w:sz w:val="32"/>
          <w:szCs w:val="32"/>
        </w:rPr>
      </w:pPr>
      <w:r>
        <w:rPr>
          <w:rFonts w:ascii="黑体" w:eastAsia="黑体"/>
          <w:b w:val="0"/>
          <w:bCs/>
          <w:sz w:val="32"/>
          <w:szCs w:val="32"/>
        </w:rPr>
        <w:t>（三）一般公共预算财政拨款支出决算具体情况</w:t>
      </w:r>
    </w:p>
    <w:p w14:paraId="40D3B924">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1、科学技术支出（类）基础研究（款）科技人才队伍建设（项）：支出决算数为8.82万元，比上年决算减少12.36万元，下降58.36%，主要原因是：</w:t>
      </w:r>
      <w:r>
        <w:rPr>
          <w:rFonts w:hint="eastAsia" w:ascii="仿宋_GB2312" w:eastAsia="仿宋_GB2312"/>
          <w:b w:val="0"/>
          <w:sz w:val="32"/>
          <w:szCs w:val="32"/>
          <w:lang w:eastAsia="zh-CN"/>
        </w:rPr>
        <w:t>本年度支出数为</w:t>
      </w:r>
      <w:r>
        <w:rPr>
          <w:rFonts w:hint="eastAsia" w:ascii="仿宋_GB2312" w:eastAsia="仿宋_GB2312"/>
          <w:b w:val="0"/>
          <w:sz w:val="32"/>
          <w:szCs w:val="32"/>
          <w:lang w:val="en-US" w:eastAsia="zh-CN"/>
        </w:rPr>
        <w:t>2023年度“天山英才”计划-三农骨干人才项目经费结转</w:t>
      </w:r>
      <w:r>
        <w:rPr>
          <w:rFonts w:ascii="仿宋_GB2312" w:eastAsia="仿宋_GB2312"/>
          <w:b w:val="0"/>
          <w:sz w:val="32"/>
          <w:szCs w:val="32"/>
        </w:rPr>
        <w:t>，</w:t>
      </w:r>
      <w:r>
        <w:rPr>
          <w:rFonts w:hint="eastAsia" w:ascii="仿宋_GB2312" w:eastAsia="仿宋_GB2312"/>
          <w:b w:val="0"/>
          <w:sz w:val="32"/>
          <w:szCs w:val="32"/>
          <w:lang w:eastAsia="zh-CN"/>
        </w:rPr>
        <w:t>因此</w:t>
      </w:r>
      <w:r>
        <w:rPr>
          <w:rFonts w:ascii="仿宋_GB2312" w:eastAsia="仿宋_GB2312"/>
          <w:b w:val="0"/>
          <w:sz w:val="32"/>
          <w:szCs w:val="32"/>
        </w:rPr>
        <w:t>支出数较上年减少。</w:t>
      </w:r>
    </w:p>
    <w:p w14:paraId="1A656206">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2、科学技术支出（类）应用研究（款）机构运行（项）：支出决算数为308.03万元，比上年决算增加14.72万元，增长5.02%，主要原因是：因工资普调和社保基数上涨导致人员经费较上年增加。</w:t>
      </w:r>
    </w:p>
    <w:p w14:paraId="3B51F090">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3、科学技术支出（类）科技条件与服务（款）其他科技条件与服务支出（项）：支出决算数为2.17万元，比上年决算增加0.08万元，增长3.83%，主要原因是：2024年度自治区</w:t>
      </w:r>
      <w:r>
        <w:rPr>
          <w:rFonts w:hint="eastAsia" w:ascii="仿宋_GB2312" w:eastAsia="仿宋_GB2312"/>
          <w:b w:val="0"/>
          <w:sz w:val="32"/>
          <w:szCs w:val="32"/>
          <w:lang w:eastAsia="zh-CN"/>
        </w:rPr>
        <w:t>“</w:t>
      </w:r>
      <w:r>
        <w:rPr>
          <w:rFonts w:ascii="仿宋_GB2312" w:eastAsia="仿宋_GB2312"/>
          <w:b w:val="0"/>
          <w:sz w:val="32"/>
          <w:szCs w:val="32"/>
        </w:rPr>
        <w:t>三区</w:t>
      </w:r>
      <w:r>
        <w:rPr>
          <w:rFonts w:hint="eastAsia" w:ascii="仿宋_GB2312" w:eastAsia="仿宋_GB2312"/>
          <w:b w:val="0"/>
          <w:sz w:val="32"/>
          <w:szCs w:val="32"/>
          <w:lang w:eastAsia="zh-CN"/>
        </w:rPr>
        <w:t>”</w:t>
      </w:r>
      <w:r>
        <w:rPr>
          <w:rFonts w:ascii="仿宋_GB2312" w:eastAsia="仿宋_GB2312"/>
          <w:b w:val="0"/>
          <w:sz w:val="32"/>
          <w:szCs w:val="32"/>
        </w:rPr>
        <w:t>科技人才支持计划项目经费安排比上年</w:t>
      </w:r>
      <w:r>
        <w:rPr>
          <w:rFonts w:hint="eastAsia" w:ascii="仿宋_GB2312" w:eastAsia="仿宋_GB2312"/>
          <w:b w:val="0"/>
          <w:sz w:val="32"/>
          <w:szCs w:val="32"/>
          <w:lang w:eastAsia="zh-CN"/>
        </w:rPr>
        <w:t>增加，因此</w:t>
      </w:r>
      <w:r>
        <w:rPr>
          <w:rFonts w:ascii="仿宋_GB2312" w:eastAsia="仿宋_GB2312"/>
          <w:b w:val="0"/>
          <w:sz w:val="32"/>
          <w:szCs w:val="32"/>
        </w:rPr>
        <w:t>项目支出数较上年</w:t>
      </w:r>
      <w:r>
        <w:rPr>
          <w:rFonts w:hint="eastAsia" w:ascii="仿宋_GB2312" w:eastAsia="仿宋_GB2312"/>
          <w:b w:val="0"/>
          <w:sz w:val="32"/>
          <w:szCs w:val="32"/>
          <w:lang w:eastAsia="zh-CN"/>
        </w:rPr>
        <w:t>增加</w:t>
      </w:r>
      <w:r>
        <w:rPr>
          <w:rFonts w:ascii="仿宋_GB2312" w:eastAsia="仿宋_GB2312"/>
          <w:b w:val="0"/>
          <w:sz w:val="32"/>
          <w:szCs w:val="32"/>
        </w:rPr>
        <w:t>。</w:t>
      </w:r>
    </w:p>
    <w:p w14:paraId="1DF7678C">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4、农林水支出（类）林业和草原（款）技术推广与转化（项）：支出决算数为70.00万元，比上年决算增加70.00万元，增长0.00%，主要原因是：本年新增</w:t>
      </w:r>
      <w:r>
        <w:rPr>
          <w:rFonts w:hint="eastAsia" w:ascii="仿宋_GB2312" w:eastAsia="仿宋_GB2312"/>
          <w:b w:val="0"/>
          <w:sz w:val="32"/>
          <w:szCs w:val="32"/>
          <w:lang w:val="en-US" w:eastAsia="zh-CN"/>
        </w:rPr>
        <w:t>2024年中央林业草原改革发展资金项目</w:t>
      </w:r>
      <w:r>
        <w:rPr>
          <w:rFonts w:ascii="仿宋_GB2312" w:eastAsia="仿宋_GB2312"/>
          <w:b w:val="0"/>
          <w:sz w:val="32"/>
          <w:szCs w:val="32"/>
        </w:rPr>
        <w:t>，</w:t>
      </w:r>
      <w:r>
        <w:rPr>
          <w:rFonts w:hint="eastAsia" w:ascii="仿宋_GB2312" w:eastAsia="仿宋_GB2312"/>
          <w:b w:val="0"/>
          <w:sz w:val="32"/>
          <w:szCs w:val="32"/>
          <w:lang w:eastAsia="zh-CN"/>
        </w:rPr>
        <w:t>因此</w:t>
      </w:r>
      <w:r>
        <w:rPr>
          <w:rFonts w:ascii="仿宋_GB2312" w:eastAsia="仿宋_GB2312"/>
          <w:b w:val="0"/>
          <w:sz w:val="32"/>
          <w:szCs w:val="32"/>
        </w:rPr>
        <w:t>支出较上年增加。</w:t>
      </w:r>
    </w:p>
    <w:p w14:paraId="31A2B480">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5、农林水支出（类）林业和草原（款）其他林业和草原支出（项）：支出决算数为20.00万元，比上年决算增加20.00万元，增长0.00%，主要原因是：本年新增</w:t>
      </w:r>
      <w:r>
        <w:rPr>
          <w:rFonts w:hint="eastAsia" w:ascii="仿宋_GB2312" w:eastAsia="仿宋_GB2312"/>
          <w:b w:val="0"/>
          <w:sz w:val="32"/>
          <w:szCs w:val="32"/>
          <w:lang w:val="en-US" w:eastAsia="zh-CN"/>
        </w:rPr>
        <w:t>2024年自治区林草专项-林草科技</w:t>
      </w:r>
      <w:r>
        <w:rPr>
          <w:rFonts w:ascii="仿宋_GB2312" w:eastAsia="仿宋_GB2312"/>
          <w:b w:val="0"/>
          <w:sz w:val="32"/>
          <w:szCs w:val="32"/>
        </w:rPr>
        <w:t>项目</w:t>
      </w:r>
      <w:r>
        <w:rPr>
          <w:rFonts w:hint="eastAsia" w:ascii="仿宋_GB2312" w:eastAsia="仿宋_GB2312"/>
          <w:b w:val="0"/>
          <w:sz w:val="32"/>
          <w:szCs w:val="32"/>
          <w:lang w:eastAsia="zh-CN"/>
        </w:rPr>
        <w:t>经费</w:t>
      </w:r>
      <w:r>
        <w:rPr>
          <w:rFonts w:ascii="仿宋_GB2312" w:eastAsia="仿宋_GB2312"/>
          <w:b w:val="0"/>
          <w:sz w:val="32"/>
          <w:szCs w:val="32"/>
        </w:rPr>
        <w:t>，</w:t>
      </w:r>
      <w:r>
        <w:rPr>
          <w:rFonts w:hint="eastAsia" w:ascii="仿宋_GB2312" w:eastAsia="仿宋_GB2312"/>
          <w:b w:val="0"/>
          <w:sz w:val="32"/>
          <w:szCs w:val="32"/>
          <w:lang w:eastAsia="zh-CN"/>
        </w:rPr>
        <w:t>因此</w:t>
      </w:r>
      <w:r>
        <w:rPr>
          <w:rFonts w:ascii="仿宋_GB2312" w:eastAsia="仿宋_GB2312"/>
          <w:b w:val="0"/>
          <w:sz w:val="32"/>
          <w:szCs w:val="32"/>
        </w:rPr>
        <w:t>支出较上年增加。</w:t>
      </w:r>
    </w:p>
    <w:p w14:paraId="19D4CA15">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六、一般公共预算财政拨款基本支出决算情况说明</w:t>
      </w:r>
    </w:p>
    <w:p w14:paraId="2788F309">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2024年度一般公共预算财政拨款基本支出308.03万元，其中：</w:t>
      </w:r>
      <w:r>
        <w:rPr>
          <w:rFonts w:ascii="仿宋_GB2312" w:eastAsia="仿宋_GB2312"/>
          <w:b/>
          <w:bCs/>
          <w:sz w:val="32"/>
          <w:szCs w:val="32"/>
        </w:rPr>
        <w:t>人员经费288.14万元，</w:t>
      </w:r>
      <w:r>
        <w:rPr>
          <w:rFonts w:ascii="仿宋_GB2312" w:eastAsia="仿宋_GB2312"/>
          <w:b w:val="0"/>
          <w:sz w:val="32"/>
          <w:szCs w:val="32"/>
        </w:rPr>
        <w:t>包括：基本工资、津贴补贴、奖金、绩效工资、机关事业单位基本养老保险缴费、职工基本医疗保险缴费、公务员医疗补助缴费、其他社会保障缴费、住房公积金、退休费和生活补助。</w:t>
      </w:r>
    </w:p>
    <w:p w14:paraId="067F7B2C">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公用经费19.89万元，</w:t>
      </w:r>
      <w:r>
        <w:rPr>
          <w:rFonts w:ascii="仿宋_GB2312" w:eastAsia="仿宋_GB2312"/>
          <w:b w:val="0"/>
          <w:sz w:val="32"/>
          <w:szCs w:val="32"/>
        </w:rPr>
        <w:t>包括：办公费、水费、电费、邮电费、取暖费、差旅费、维修（护）费、劳务费、委托业务费、工会经费、福利费和其他交通费用。</w:t>
      </w:r>
    </w:p>
    <w:p w14:paraId="45833E31">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七、政府性基金预算财政拨款收入支出决算情况说明</w:t>
      </w:r>
    </w:p>
    <w:p w14:paraId="39306B24">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14:paraId="5D5B4AD5">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八、国有资本经营预算财政拨款收入支出决算情况说明</w:t>
      </w:r>
    </w:p>
    <w:p w14:paraId="6911A105">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14:paraId="0FFB1CA0">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九、财政拨款</w:t>
      </w:r>
      <w:r>
        <w:rPr>
          <w:rFonts w:hint="eastAsia" w:ascii="黑体" w:hAnsi="黑体" w:eastAsia="黑体" w:cs="黑体"/>
          <w:b w:val="0"/>
          <w:sz w:val="32"/>
          <w:szCs w:val="32"/>
          <w:lang w:eastAsia="zh-CN"/>
        </w:rPr>
        <w:t>“</w:t>
      </w:r>
      <w:r>
        <w:rPr>
          <w:rFonts w:hint="eastAsia" w:ascii="黑体" w:hAnsi="黑体" w:eastAsia="黑体" w:cs="黑体"/>
          <w:b w:val="0"/>
          <w:sz w:val="32"/>
          <w:szCs w:val="32"/>
        </w:rPr>
        <w:t>三公</w:t>
      </w:r>
      <w:r>
        <w:rPr>
          <w:rFonts w:hint="eastAsia" w:ascii="黑体" w:hAnsi="黑体" w:eastAsia="黑体" w:cs="黑体"/>
          <w:b w:val="0"/>
          <w:sz w:val="32"/>
          <w:szCs w:val="32"/>
          <w:lang w:eastAsia="zh-CN"/>
        </w:rPr>
        <w:t>”</w:t>
      </w:r>
      <w:r>
        <w:rPr>
          <w:rFonts w:ascii="黑体" w:eastAsia="黑体"/>
          <w:b w:val="0"/>
          <w:sz w:val="32"/>
          <w:szCs w:val="32"/>
        </w:rPr>
        <w:t>经费支出决算情况说明</w:t>
      </w:r>
    </w:p>
    <w:p w14:paraId="6CD80C1C">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2024年度财政拨款</w:t>
      </w:r>
      <w:r>
        <w:rPr>
          <w:rFonts w:hint="eastAsia" w:ascii="仿宋_GB2312" w:eastAsia="仿宋_GB2312"/>
          <w:b/>
          <w:bCs/>
          <w:sz w:val="32"/>
          <w:szCs w:val="32"/>
          <w:lang w:eastAsia="zh-CN"/>
        </w:rPr>
        <w:t>“</w:t>
      </w:r>
      <w:r>
        <w:rPr>
          <w:rFonts w:ascii="仿宋_GB2312" w:eastAsia="仿宋_GB2312"/>
          <w:b/>
          <w:bCs/>
          <w:sz w:val="32"/>
          <w:szCs w:val="32"/>
        </w:rPr>
        <w:t>三公</w:t>
      </w:r>
      <w:r>
        <w:rPr>
          <w:rFonts w:hint="eastAsia" w:ascii="仿宋_GB2312" w:eastAsia="仿宋_GB2312"/>
          <w:b/>
          <w:bCs/>
          <w:sz w:val="32"/>
          <w:szCs w:val="32"/>
          <w:lang w:eastAsia="zh-CN"/>
        </w:rPr>
        <w:t>”</w:t>
      </w:r>
      <w:r>
        <w:rPr>
          <w:rFonts w:ascii="仿宋_GB2312" w:eastAsia="仿宋_GB2312"/>
          <w:b/>
          <w:bCs/>
          <w:sz w:val="32"/>
          <w:szCs w:val="32"/>
        </w:rPr>
        <w:t>经费支出0.00万元，</w:t>
      </w:r>
      <w:r>
        <w:rPr>
          <w:rFonts w:ascii="仿宋_GB2312" w:eastAsia="仿宋_GB2312"/>
          <w:b w:val="0"/>
          <w:sz w:val="32"/>
          <w:szCs w:val="32"/>
        </w:rPr>
        <w:t>与上年相比无变化，主要原因是：我单位2023年度与2024年度均未安排</w:t>
      </w:r>
      <w:r>
        <w:rPr>
          <w:rFonts w:hint="eastAsia" w:ascii="仿宋_GB2312" w:eastAsia="仿宋_GB2312"/>
          <w:b w:val="0"/>
          <w:sz w:val="32"/>
          <w:szCs w:val="32"/>
          <w:lang w:eastAsia="zh-CN"/>
        </w:rPr>
        <w:t>“</w:t>
      </w:r>
      <w:r>
        <w:rPr>
          <w:rFonts w:ascii="仿宋_GB2312" w:eastAsia="仿宋_GB2312"/>
          <w:b w:val="0"/>
          <w:sz w:val="32"/>
          <w:szCs w:val="32"/>
        </w:rPr>
        <w:t>三公</w:t>
      </w:r>
      <w:r>
        <w:rPr>
          <w:rFonts w:hint="eastAsia" w:ascii="仿宋_GB2312" w:eastAsia="仿宋_GB2312"/>
          <w:b w:val="0"/>
          <w:sz w:val="32"/>
          <w:szCs w:val="32"/>
          <w:lang w:eastAsia="zh-CN"/>
        </w:rPr>
        <w:t>”</w:t>
      </w:r>
      <w:r>
        <w:rPr>
          <w:rFonts w:ascii="仿宋_GB2312" w:eastAsia="仿宋_GB2312"/>
          <w:b w:val="0"/>
          <w:sz w:val="32"/>
          <w:szCs w:val="32"/>
        </w:rPr>
        <w:t>经费支出。其中：因公出国（境）费支出0.00万元,占0.00%，与上年相比无变化，主要原因是：我单位2023年度与2024年度均未安排因公出国（境）费支出；公务用车购置及运行维护费支出0.00万元，占0.00%，与上年相比无变化，主要原因是：我单位2023年度与2024年度均未安排公务用车购置及运行维护费支出；公务接待费支出0.00万元，占0.00%，与上年相比无变化，主要原因是：我单位2023年度与2024年度均未安排公务接待费支出。</w:t>
      </w:r>
    </w:p>
    <w:p w14:paraId="52AB9D72">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b/>
          <w:bCs/>
          <w:sz w:val="32"/>
          <w:szCs w:val="32"/>
        </w:rPr>
      </w:pPr>
      <w:r>
        <w:rPr>
          <w:rFonts w:ascii="仿宋_GB2312" w:eastAsia="仿宋_GB2312"/>
          <w:b/>
          <w:bCs/>
          <w:sz w:val="32"/>
          <w:szCs w:val="32"/>
        </w:rPr>
        <w:t>具体情况如下：</w:t>
      </w:r>
    </w:p>
    <w:p w14:paraId="6609D194">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因公出国（境）费支出0.00万元，开支内容包括我单位</w:t>
      </w:r>
      <w:r>
        <w:rPr>
          <w:rFonts w:hint="eastAsia" w:ascii="仿宋_GB2312" w:eastAsia="仿宋_GB2312"/>
          <w:b w:val="0"/>
          <w:sz w:val="32"/>
          <w:szCs w:val="32"/>
          <w:lang w:val="en-US" w:eastAsia="zh-CN"/>
        </w:rPr>
        <w:t>无</w:t>
      </w:r>
      <w:r>
        <w:rPr>
          <w:rFonts w:ascii="仿宋_GB2312" w:eastAsia="仿宋_GB2312"/>
          <w:b w:val="0"/>
          <w:sz w:val="32"/>
          <w:szCs w:val="32"/>
        </w:rPr>
        <w:t>因公出国（境）费支出。单位全年安排的因公出国（境）团组0个，因公出国（境）0人次。</w:t>
      </w:r>
    </w:p>
    <w:p w14:paraId="4953A43C">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务用车购置及运行维护费0.00万元，其中：公务用车购置费0.00万元，公务用车运行维护费0.00万元。公务用车运行维护费开支内容包括我单位无公务用车运行维护费支出。公务用车购置数0辆，公务用车保有量0辆。国有资产占用情况中固定资产车辆0辆，与公务用车保有量差异原因是：我单位无车辆，因此公务用车保有量无差异。</w:t>
      </w:r>
      <w:bookmarkStart w:id="0" w:name="_GoBack"/>
      <w:bookmarkEnd w:id="0"/>
    </w:p>
    <w:p w14:paraId="187022DF">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公务接待费0.00万元，开支内容包括我单位严格执行公务接待费，无相关支出。单位全年安排的国内公务接待0批次，0人次。</w:t>
      </w:r>
    </w:p>
    <w:p w14:paraId="77534F0C">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ascii="仿宋_GB2312" w:eastAsia="仿宋_GB2312"/>
          <w:sz w:val="32"/>
          <w:szCs w:val="32"/>
        </w:rPr>
      </w:pPr>
      <w:r>
        <w:rPr>
          <w:rFonts w:ascii="仿宋_GB2312" w:eastAsia="仿宋_GB2312"/>
          <w:b/>
          <w:bCs/>
          <w:sz w:val="32"/>
          <w:szCs w:val="32"/>
        </w:rPr>
        <w:t>与全年预算相比，</w:t>
      </w:r>
      <w:r>
        <w:rPr>
          <w:rFonts w:ascii="仿宋_GB2312" w:eastAsia="仿宋_GB2312"/>
          <w:b w:val="0"/>
          <w:sz w:val="32"/>
          <w:szCs w:val="32"/>
        </w:rPr>
        <w:t>财政拨款</w:t>
      </w:r>
      <w:r>
        <w:rPr>
          <w:rFonts w:hint="eastAsia" w:ascii="仿宋_GB2312" w:eastAsia="仿宋_GB2312"/>
          <w:b w:val="0"/>
          <w:sz w:val="32"/>
          <w:szCs w:val="32"/>
          <w:lang w:eastAsia="zh-CN"/>
        </w:rPr>
        <w:t>“</w:t>
      </w:r>
      <w:r>
        <w:rPr>
          <w:rFonts w:ascii="仿宋_GB2312" w:eastAsia="仿宋_GB2312"/>
          <w:b w:val="0"/>
          <w:sz w:val="32"/>
          <w:szCs w:val="32"/>
        </w:rPr>
        <w:t>三公</w:t>
      </w:r>
      <w:r>
        <w:rPr>
          <w:rFonts w:hint="eastAsia" w:ascii="仿宋_GB2312" w:eastAsia="仿宋_GB2312"/>
          <w:b w:val="0"/>
          <w:sz w:val="32"/>
          <w:szCs w:val="32"/>
          <w:lang w:eastAsia="zh-CN"/>
        </w:rPr>
        <w:t>”</w:t>
      </w:r>
      <w:r>
        <w:rPr>
          <w:rFonts w:ascii="仿宋_GB2312" w:eastAsia="仿宋_GB2312"/>
          <w:b w:val="0"/>
          <w:sz w:val="32"/>
          <w:szCs w:val="32"/>
        </w:rPr>
        <w:t>经费支出全年预算数0.00万元，决算数0.00万元，预决算差异率0.00%，主要原因是：我单位2023年度与2024年度均未安排</w:t>
      </w:r>
      <w:r>
        <w:rPr>
          <w:rFonts w:hint="eastAsia" w:ascii="仿宋_GB2312" w:eastAsia="仿宋_GB2312"/>
          <w:b w:val="0"/>
          <w:sz w:val="32"/>
          <w:szCs w:val="32"/>
          <w:lang w:eastAsia="zh-CN"/>
        </w:rPr>
        <w:t>“</w:t>
      </w:r>
      <w:r>
        <w:rPr>
          <w:rFonts w:ascii="仿宋_GB2312" w:eastAsia="仿宋_GB2312"/>
          <w:b w:val="0"/>
          <w:sz w:val="32"/>
          <w:szCs w:val="32"/>
        </w:rPr>
        <w:t>三公</w:t>
      </w:r>
      <w:r>
        <w:rPr>
          <w:rFonts w:hint="eastAsia" w:ascii="仿宋_GB2312" w:eastAsia="仿宋_GB2312"/>
          <w:b w:val="0"/>
          <w:sz w:val="32"/>
          <w:szCs w:val="32"/>
          <w:lang w:eastAsia="zh-CN"/>
        </w:rPr>
        <w:t>”</w:t>
      </w:r>
      <w:r>
        <w:rPr>
          <w:rFonts w:ascii="仿宋_GB2312" w:eastAsia="仿宋_GB2312"/>
          <w:b w:val="0"/>
          <w:sz w:val="32"/>
          <w:szCs w:val="32"/>
        </w:rPr>
        <w:t>经费支出。其中：因公出国（境）费全年预算数0.00万元，决算数0.00万元，预决算差异率0.00%，主要原因是：我单位2023年度与2024年度均未安排因公出国（境）费支出​；公务用车购置费全年预算数0.00万元，决算数0.00万元，预决算差异率0.00%，主要原因是：我单位2023年度与2024年度均未安排公务用车购置费支出；公务用车运行维护费全年预算数0.00万元，决算数0.00万元，预决算差异率0.00%，主要原因是：我单位2023年度与2024年度均未安排公务用车运行维护费；公务接待费全年预算数0.00万元，决算数0.00万元，预决算差异率0.00%，主要原因是：我单位2023年度与2024年度均未安排公务接待费。</w:t>
      </w:r>
    </w:p>
    <w:p w14:paraId="4E2695C9">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十、其他重要事项的情况说明</w:t>
      </w:r>
    </w:p>
    <w:p w14:paraId="3B223F7B">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2"/>
        <w:rPr>
          <w:rFonts w:ascii="黑体" w:eastAsia="黑体"/>
          <w:b w:val="0"/>
          <w:bCs/>
          <w:sz w:val="32"/>
          <w:szCs w:val="32"/>
        </w:rPr>
      </w:pPr>
      <w:r>
        <w:rPr>
          <w:rFonts w:ascii="黑体" w:eastAsia="黑体"/>
          <w:b w:val="0"/>
          <w:bCs/>
          <w:sz w:val="32"/>
          <w:szCs w:val="32"/>
        </w:rPr>
        <w:t>（一）机关运行经费及公用经费支出情况</w:t>
      </w:r>
    </w:p>
    <w:p w14:paraId="75EC8E86">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2024年度新疆林业科学院现代林业研究所单位（事业单位）公用经费支出19.89万元，比上年减少0.57万元，下降2.79%，主要原因是：因积极响应</w:t>
      </w:r>
      <w:r>
        <w:rPr>
          <w:rFonts w:hint="eastAsia" w:ascii="仿宋_GB2312" w:eastAsia="仿宋_GB2312"/>
          <w:b w:val="0"/>
          <w:sz w:val="32"/>
          <w:szCs w:val="32"/>
          <w:lang w:eastAsia="zh-CN"/>
        </w:rPr>
        <w:t>“</w:t>
      </w:r>
      <w:r>
        <w:rPr>
          <w:rFonts w:ascii="仿宋_GB2312" w:eastAsia="仿宋_GB2312"/>
          <w:b w:val="0"/>
          <w:sz w:val="32"/>
          <w:szCs w:val="32"/>
        </w:rPr>
        <w:t>过紧日子</w:t>
      </w:r>
      <w:r>
        <w:rPr>
          <w:rFonts w:hint="eastAsia" w:ascii="仿宋_GB2312" w:eastAsia="仿宋_GB2312"/>
          <w:b w:val="0"/>
          <w:sz w:val="32"/>
          <w:szCs w:val="32"/>
          <w:lang w:eastAsia="zh-CN"/>
        </w:rPr>
        <w:t>”</w:t>
      </w:r>
      <w:r>
        <w:rPr>
          <w:rFonts w:ascii="仿宋_GB2312" w:eastAsia="仿宋_GB2312"/>
          <w:b w:val="0"/>
          <w:sz w:val="32"/>
          <w:szCs w:val="32"/>
        </w:rPr>
        <w:t>要求节约公用经费支出，导致公用经费较上年减少。</w:t>
      </w:r>
    </w:p>
    <w:p w14:paraId="7FE7567D">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2"/>
        <w:rPr>
          <w:rFonts w:ascii="黑体" w:eastAsia="黑体"/>
          <w:b w:val="0"/>
          <w:bCs/>
          <w:sz w:val="32"/>
          <w:szCs w:val="32"/>
        </w:rPr>
      </w:pPr>
      <w:r>
        <w:rPr>
          <w:rFonts w:ascii="黑体" w:eastAsia="黑体"/>
          <w:b w:val="0"/>
          <w:bCs/>
          <w:sz w:val="32"/>
          <w:szCs w:val="32"/>
        </w:rPr>
        <w:t>（二）政府采购情况</w:t>
      </w:r>
    </w:p>
    <w:p w14:paraId="26CCA217">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2024年度政府采购支出总额26.00万元，其中：政府采购货物支出26.00万元、政府采购工程支出0.00万元、政府采购服务支出0.00万元。</w:t>
      </w:r>
    </w:p>
    <w:p w14:paraId="11CE861B">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授予中小企业合同金额26.00万元，占政府采购支出总额的100.00%，其中：授予小微企业合同金额26.00万元，占政府采购支出总额的100.00%。</w:t>
      </w:r>
    </w:p>
    <w:p w14:paraId="4D622C99">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2"/>
        <w:rPr>
          <w:rFonts w:ascii="黑体" w:eastAsia="黑体"/>
          <w:b w:val="0"/>
          <w:bCs/>
          <w:sz w:val="32"/>
          <w:szCs w:val="32"/>
        </w:rPr>
      </w:pPr>
      <w:r>
        <w:rPr>
          <w:rFonts w:ascii="黑体" w:eastAsia="黑体"/>
          <w:b w:val="0"/>
          <w:bCs/>
          <w:sz w:val="32"/>
          <w:szCs w:val="32"/>
        </w:rPr>
        <w:t>（三）国有资产占用情况说明</w:t>
      </w:r>
    </w:p>
    <w:p w14:paraId="30467AEF">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我单位无其他用车;单价100万元（含）以上设备（不含车辆）0台。</w:t>
      </w:r>
    </w:p>
    <w:p w14:paraId="77C35AEF">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十一、预算绩效的情况说明</w:t>
      </w:r>
    </w:p>
    <w:p w14:paraId="1220813A">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根据预算绩效管理要求，本单位2024年度预算绩效评价项目1个，全年预算数819.00万元，全年执行数819.00万元。预算绩效管理取得的成效：一是按照绩效目标高效、高质量完成各项工作内容；二是能够及时发现问题并及时调整各项工作内容。发现的问题及原因：一是前期绩效目标不够细致；二是没有考虑到项目实施可能遇到变量。下一步改进措施：一是完善预算绩效管理基础工作，做细各项绩效指标；二是继续提升预算绩效管理的深度和广度，全面考虑项目实施各项因素。具体附项目支出绩效自评表。</w:t>
      </w:r>
    </w:p>
    <w:p w14:paraId="4E3F039E">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十二、其他需说明的事项</w:t>
      </w:r>
    </w:p>
    <w:p w14:paraId="2F95A898">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本单位无其他需说明事项。</w:t>
      </w:r>
    </w:p>
    <w:p w14:paraId="202C937C">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p>
    <w:p w14:paraId="627DC109">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14:paraId="1AA1976E">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outlineLvl w:val="0"/>
        <w:rPr>
          <w:rFonts w:ascii="黑体" w:eastAsia="黑体"/>
          <w:sz w:val="32"/>
          <w:szCs w:val="32"/>
        </w:rPr>
      </w:pPr>
      <w:r>
        <w:rPr>
          <w:rFonts w:ascii="黑体" w:eastAsia="黑体"/>
          <w:b w:val="0"/>
          <w:sz w:val="32"/>
          <w:szCs w:val="32"/>
        </w:rPr>
        <w:t>第三部分</w:t>
      </w:r>
      <w:r>
        <w:rPr>
          <w:rFonts w:hint="eastAsia" w:ascii="黑体" w:eastAsia="黑体"/>
          <w:b w:val="0"/>
          <w:sz w:val="32"/>
          <w:szCs w:val="32"/>
          <w:lang w:val="en-US" w:eastAsia="zh-CN"/>
        </w:rPr>
        <w:t xml:space="preserve"> </w:t>
      </w:r>
      <w:r>
        <w:rPr>
          <w:rFonts w:ascii="黑体" w:eastAsia="黑体"/>
          <w:b w:val="0"/>
          <w:sz w:val="32"/>
          <w:szCs w:val="32"/>
        </w:rPr>
        <w:t>专业名词解释</w:t>
      </w:r>
    </w:p>
    <w:p w14:paraId="7B69BAE0">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14:paraId="2FC313F6">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14:paraId="7C018AA6">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14:paraId="7ACD7A32">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14:paraId="25DD70CA">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14:paraId="1B2D8839">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w:t>
      </w:r>
      <w:r>
        <w:rPr>
          <w:rFonts w:hint="eastAsia" w:ascii="仿宋_GB2312" w:eastAsia="仿宋_GB2312"/>
          <w:b w:val="0"/>
          <w:sz w:val="32"/>
          <w:szCs w:val="32"/>
          <w:lang w:eastAsia="zh-CN"/>
        </w:rPr>
        <w:t>“</w:t>
      </w:r>
      <w:r>
        <w:rPr>
          <w:rFonts w:ascii="仿宋_GB2312" w:eastAsia="仿宋_GB2312"/>
          <w:b w:val="0"/>
          <w:sz w:val="32"/>
          <w:szCs w:val="32"/>
        </w:rPr>
        <w:t>财政拨款收入</w:t>
      </w:r>
      <w:r>
        <w:rPr>
          <w:rFonts w:hint="eastAsia" w:ascii="仿宋_GB2312" w:eastAsia="仿宋_GB2312"/>
          <w:b w:val="0"/>
          <w:sz w:val="32"/>
          <w:szCs w:val="32"/>
          <w:lang w:eastAsia="zh-CN"/>
        </w:rPr>
        <w:t>”</w:t>
      </w:r>
      <w:r>
        <w:rPr>
          <w:rFonts w:ascii="仿宋_GB2312" w:eastAsia="仿宋_GB2312"/>
          <w:b w:val="0"/>
          <w:sz w:val="32"/>
          <w:szCs w:val="32"/>
        </w:rPr>
        <w:t>、</w:t>
      </w:r>
      <w:r>
        <w:rPr>
          <w:rFonts w:hint="eastAsia" w:ascii="仿宋_GB2312" w:eastAsia="仿宋_GB2312"/>
          <w:b w:val="0"/>
          <w:sz w:val="32"/>
          <w:szCs w:val="32"/>
          <w:lang w:eastAsia="zh-CN"/>
        </w:rPr>
        <w:t>“</w:t>
      </w:r>
      <w:r>
        <w:rPr>
          <w:rFonts w:ascii="仿宋_GB2312" w:eastAsia="仿宋_GB2312"/>
          <w:b w:val="0"/>
          <w:sz w:val="32"/>
          <w:szCs w:val="32"/>
        </w:rPr>
        <w:t>事业收入</w:t>
      </w:r>
      <w:r>
        <w:rPr>
          <w:rFonts w:hint="eastAsia" w:ascii="仿宋_GB2312" w:eastAsia="仿宋_GB2312"/>
          <w:b w:val="0"/>
          <w:sz w:val="32"/>
          <w:szCs w:val="32"/>
          <w:lang w:eastAsia="zh-CN"/>
        </w:rPr>
        <w:t>”</w:t>
      </w:r>
      <w:r>
        <w:rPr>
          <w:rFonts w:ascii="仿宋_GB2312" w:eastAsia="仿宋_GB2312"/>
          <w:b w:val="0"/>
          <w:sz w:val="32"/>
          <w:szCs w:val="32"/>
        </w:rPr>
        <w:t>、</w:t>
      </w:r>
      <w:r>
        <w:rPr>
          <w:rFonts w:hint="eastAsia" w:ascii="仿宋_GB2312" w:eastAsia="仿宋_GB2312"/>
          <w:b w:val="0"/>
          <w:sz w:val="32"/>
          <w:szCs w:val="32"/>
          <w:lang w:eastAsia="zh-CN"/>
        </w:rPr>
        <w:t>“</w:t>
      </w:r>
      <w:r>
        <w:rPr>
          <w:rFonts w:ascii="仿宋_GB2312" w:eastAsia="仿宋_GB2312"/>
          <w:b w:val="0"/>
          <w:sz w:val="32"/>
          <w:szCs w:val="32"/>
        </w:rPr>
        <w:t>经营收入</w:t>
      </w:r>
      <w:r>
        <w:rPr>
          <w:rFonts w:hint="eastAsia" w:ascii="仿宋_GB2312" w:eastAsia="仿宋_GB2312"/>
          <w:b w:val="0"/>
          <w:sz w:val="32"/>
          <w:szCs w:val="32"/>
          <w:lang w:eastAsia="zh-CN"/>
        </w:rPr>
        <w:t>”</w:t>
      </w:r>
      <w:r>
        <w:rPr>
          <w:rFonts w:ascii="仿宋_GB2312" w:eastAsia="仿宋_GB2312"/>
          <w:b w:val="0"/>
          <w:sz w:val="32"/>
          <w:szCs w:val="32"/>
        </w:rPr>
        <w:t>、</w:t>
      </w:r>
      <w:r>
        <w:rPr>
          <w:rFonts w:hint="eastAsia" w:ascii="仿宋_GB2312" w:eastAsia="仿宋_GB2312"/>
          <w:b w:val="0"/>
          <w:sz w:val="32"/>
          <w:szCs w:val="32"/>
          <w:lang w:eastAsia="zh-CN"/>
        </w:rPr>
        <w:t>“</w:t>
      </w:r>
      <w:r>
        <w:rPr>
          <w:rFonts w:ascii="仿宋_GB2312" w:eastAsia="仿宋_GB2312"/>
          <w:b w:val="0"/>
          <w:sz w:val="32"/>
          <w:szCs w:val="32"/>
        </w:rPr>
        <w:t>附属单位上缴收入</w:t>
      </w:r>
      <w:r>
        <w:rPr>
          <w:rFonts w:hint="eastAsia" w:ascii="仿宋_GB2312" w:eastAsia="仿宋_GB2312"/>
          <w:b w:val="0"/>
          <w:sz w:val="32"/>
          <w:szCs w:val="32"/>
          <w:lang w:eastAsia="zh-CN"/>
        </w:rPr>
        <w:t>”</w:t>
      </w:r>
      <w:r>
        <w:rPr>
          <w:rFonts w:ascii="仿宋_GB2312" w:eastAsia="仿宋_GB2312"/>
          <w:b w:val="0"/>
          <w:sz w:val="32"/>
          <w:szCs w:val="32"/>
        </w:rPr>
        <w:t>等之外取得的收入。</w:t>
      </w:r>
    </w:p>
    <w:p w14:paraId="0E3A11EF">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14:paraId="5D717FB7">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899C80E">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14:paraId="43777822">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14:paraId="778F602D">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14:paraId="1F211A8C">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14:paraId="3945D574">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十三、</w:t>
      </w:r>
      <w:r>
        <w:rPr>
          <w:rFonts w:hint="eastAsia" w:ascii="仿宋_GB2312" w:eastAsia="仿宋_GB2312"/>
          <w:b/>
          <w:sz w:val="32"/>
          <w:szCs w:val="32"/>
          <w:lang w:eastAsia="zh-CN"/>
        </w:rPr>
        <w:t>“</w:t>
      </w:r>
      <w:r>
        <w:rPr>
          <w:rFonts w:ascii="仿宋_GB2312" w:eastAsia="仿宋_GB2312"/>
          <w:b/>
          <w:sz w:val="32"/>
          <w:szCs w:val="32"/>
        </w:rPr>
        <w:t>三公</w:t>
      </w:r>
      <w:r>
        <w:rPr>
          <w:rFonts w:hint="eastAsia" w:ascii="仿宋_GB2312" w:eastAsia="仿宋_GB2312"/>
          <w:b/>
          <w:sz w:val="32"/>
          <w:szCs w:val="32"/>
          <w:lang w:eastAsia="zh-CN"/>
        </w:rPr>
        <w:t>”</w:t>
      </w:r>
      <w:r>
        <w:rPr>
          <w:rFonts w:ascii="仿宋_GB2312" w:eastAsia="仿宋_GB2312"/>
          <w:b/>
          <w:sz w:val="32"/>
          <w:szCs w:val="32"/>
        </w:rPr>
        <w:t>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03A14E6">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14:paraId="2D8745EC">
      <w:pPr>
        <w:keepNext w:val="0"/>
        <w:keepLines w:val="0"/>
        <w:pageBreakBefore w:val="0"/>
        <w:widowControl/>
        <w:kinsoku/>
        <w:wordWrap/>
        <w:overflowPunct/>
        <w:topLinePunct w:val="0"/>
        <w:autoSpaceDE/>
        <w:autoSpaceDN/>
        <w:bidi w:val="0"/>
        <w:adjustRightInd/>
        <w:snapToGrid/>
        <w:spacing w:line="560" w:lineRule="exact"/>
        <w:textAlignment w:val="auto"/>
      </w:pPr>
      <w:r>
        <w:rPr>
          <w:b w:val="0"/>
          <w:sz w:val="0"/>
          <w:szCs w:val="0"/>
        </w:rPr>
        <w:br w:type="page"/>
      </w:r>
    </w:p>
    <w:p w14:paraId="44433CED">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outlineLvl w:val="0"/>
        <w:rPr>
          <w:rFonts w:ascii="黑体" w:eastAsia="黑体"/>
          <w:sz w:val="32"/>
          <w:szCs w:val="32"/>
        </w:rPr>
      </w:pPr>
      <w:r>
        <w:rPr>
          <w:rFonts w:ascii="黑体" w:eastAsia="黑体"/>
          <w:b w:val="0"/>
          <w:sz w:val="32"/>
          <w:szCs w:val="32"/>
        </w:rPr>
        <w:t>第四部分</w:t>
      </w:r>
      <w:r>
        <w:rPr>
          <w:rFonts w:hint="eastAsia" w:ascii="黑体" w:eastAsia="黑体"/>
          <w:b w:val="0"/>
          <w:sz w:val="32"/>
          <w:szCs w:val="32"/>
          <w:lang w:val="en-US" w:eastAsia="zh-CN"/>
        </w:rPr>
        <w:t xml:space="preserve"> </w:t>
      </w:r>
      <w:r>
        <w:rPr>
          <w:rFonts w:ascii="黑体" w:eastAsia="黑体"/>
          <w:b w:val="0"/>
          <w:sz w:val="32"/>
          <w:szCs w:val="32"/>
        </w:rPr>
        <w:t>部门决算报表（见附表）</w:t>
      </w:r>
    </w:p>
    <w:p w14:paraId="4D8D3F4D">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一、《收入支出决算总表》</w:t>
      </w:r>
    </w:p>
    <w:p w14:paraId="55630B89">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二、《收入决算表》</w:t>
      </w:r>
    </w:p>
    <w:p w14:paraId="59F5B467">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三、《支出决算表》</w:t>
      </w:r>
    </w:p>
    <w:p w14:paraId="0AA7C0BD">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四、《财政拨款收入支出决算总表》</w:t>
      </w:r>
    </w:p>
    <w:p w14:paraId="1AE8DBE5">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五、《一般公共预算财政拨款支出决算表》</w:t>
      </w:r>
    </w:p>
    <w:p w14:paraId="23B4D3AC">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六、《一般公共预算财政拨款基本支出决算表》</w:t>
      </w:r>
    </w:p>
    <w:p w14:paraId="687F06A5">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七、《政府性基金预算财政拨款收入支出决算表》</w:t>
      </w:r>
    </w:p>
    <w:p w14:paraId="4C8A113B">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14:paraId="0FAFEFBF">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九、《财政拨款</w:t>
      </w:r>
      <w:r>
        <w:rPr>
          <w:rFonts w:hint="eastAsia" w:ascii="仿宋_GB2312" w:eastAsia="仿宋_GB2312"/>
          <w:b w:val="0"/>
          <w:sz w:val="32"/>
          <w:szCs w:val="32"/>
          <w:lang w:eastAsia="zh-CN"/>
        </w:rPr>
        <w:t>“</w:t>
      </w:r>
      <w:r>
        <w:rPr>
          <w:rFonts w:ascii="仿宋_GB2312" w:eastAsia="仿宋_GB2312"/>
          <w:b w:val="0"/>
          <w:sz w:val="32"/>
          <w:szCs w:val="32"/>
        </w:rPr>
        <w:t>三公</w:t>
      </w:r>
      <w:r>
        <w:rPr>
          <w:rFonts w:hint="eastAsia" w:ascii="仿宋_GB2312" w:eastAsia="仿宋_GB2312"/>
          <w:b w:val="0"/>
          <w:sz w:val="32"/>
          <w:szCs w:val="32"/>
          <w:lang w:eastAsia="zh-CN"/>
        </w:rPr>
        <w:t>”</w:t>
      </w:r>
      <w:r>
        <w:rPr>
          <w:rFonts w:ascii="仿宋_GB2312" w:eastAsia="仿宋_GB2312"/>
          <w:b w:val="0"/>
          <w:sz w:val="32"/>
          <w:szCs w:val="32"/>
        </w:rPr>
        <w:t>经费支出决算表》</w:t>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compat>
    <w:useFELayout/>
    <w:splitPgBreakAndParaMark/>
    <w:compatSetting w:name="compatibilityMode" w:uri="http://schemas.microsoft.com/office/word" w:val="12"/>
  </w:compat>
  <w:rsids>
    <w:rsidRoot w:val="00000000"/>
    <w:rsid w:val="0492373D"/>
    <w:rsid w:val="062F6504"/>
    <w:rsid w:val="129A29F9"/>
    <w:rsid w:val="2AC261B6"/>
    <w:rsid w:val="33873EE5"/>
    <w:rsid w:val="3C9579AC"/>
    <w:rsid w:val="402563CF"/>
    <w:rsid w:val="42102405"/>
    <w:rsid w:val="42BB5D49"/>
    <w:rsid w:val="4989723B"/>
    <w:rsid w:val="5FC76EEA"/>
    <w:rsid w:val="73491514"/>
    <w:rsid w:val="76CB7017"/>
    <w:rsid w:val="7A8748D0"/>
    <w:rsid w:val="7D8B46ED"/>
    <w:rsid w:val="7ED979C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14</Pages>
  <Words>5073</Words>
  <Characters>5689</Characters>
  <TotalTime>7</TotalTime>
  <ScaleCrop>false</ScaleCrop>
  <LinksUpToDate>false</LinksUpToDate>
  <CharactersWithSpaces>5689</CharactersWithSpaces>
  <Application>WPS Office_12.1.0.22529_F1E327BC-269C-435d-A152-05C5408002CA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2025-08-22T02:49:00Z</dcterms:created>
  <dc:creator>Administrator</dc:creator>
  <cp:lastModifiedBy>晶</cp:lastModifiedBy>
  <dcterms:modified xsi:type="dcterms:W3CDTF">2025-08-25T03:52:56Z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eyJoZGlkIjoiODFkN2IxNDhjZjg5NmQ2NGM2MDc2OTFlNWI4MDU2NDUiLCJ1c2VySWQiOiIyMzk3MjgxNjgifQ==</vt:lpwstr>
  </property>
  <property fmtid="{D5CDD505-2E9C-101B-9397-08002B2CF9AE}" pid="4" name="ICV">
    <vt:lpwstr>43AC7548C2BD4ECBAF14CA1D901C6DC1_12</vt:lpwstr>
  </property>
</Properties>
</file>