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775E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7EFA104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45441F1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7B99364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44A0595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新疆林科院经济林研究所</w:t>
      </w:r>
    </w:p>
    <w:p w14:paraId="5F632D6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311DFCA9">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E7D5B1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14:paraId="38BA9AC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7B0FAC7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7BCFD52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0353D1A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359FB2C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0FC50A6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526BEC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37D15E7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3E5F72A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698B85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151122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7E18467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2FDFE51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145107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569BB99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880F5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14:paraId="5A2CB67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6085B04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2143097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41D257B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70F1CE8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0EC48B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411CE88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7990BF2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782BE0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277D8D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2ECEA61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7F30F12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730CC93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78635F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67B31D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1F0C66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1D5BC4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14:paraId="79DF2FA9">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F0376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64F2B07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0AEB8D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1、研究为适合新疆栽培发展的名、特、优经济林树种的良种选育、繁殖及丰产栽培技术的研究。</w:t>
      </w:r>
    </w:p>
    <w:p w14:paraId="47A4508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2、经济林果品的保鲜储藏、加工利用技术研究。</w:t>
      </w:r>
    </w:p>
    <w:p w14:paraId="77A596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3、承担经济林建设工程的规划、设计及技术指导；为新疆林果业发展提供科技支撑和科技服务。</w:t>
      </w:r>
    </w:p>
    <w:p w14:paraId="302477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40B040D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新疆林科院经济林研究所2024年度，实有人数30人，其中：在职人员25人，减少1人；离休人员0人，较上年无变化；退休人员5人，增加1人。</w:t>
      </w:r>
    </w:p>
    <w:p w14:paraId="0176F2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新疆林科院经济林研究所无下属预算单位，下设6个</w:t>
      </w:r>
      <w:r>
        <w:rPr>
          <w:rFonts w:hint="eastAsia" w:ascii="仿宋_GB2312" w:eastAsia="仿宋_GB2312"/>
          <w:b w:val="0"/>
          <w:sz w:val="32"/>
          <w:szCs w:val="32"/>
          <w:lang w:val="en-US" w:eastAsia="zh-CN"/>
        </w:rPr>
        <w:t>科</w:t>
      </w:r>
      <w:r>
        <w:rPr>
          <w:rFonts w:ascii="仿宋_GB2312" w:eastAsia="仿宋_GB2312"/>
          <w:b w:val="0"/>
          <w:sz w:val="32"/>
          <w:szCs w:val="32"/>
        </w:rPr>
        <w:t>室，分别是：综合业务室、红枣与榛子研究室、核桃研究室、巴旦木与枸杞研究室、林果资源利用研究室、林果技术研究室。</w:t>
      </w:r>
    </w:p>
    <w:p w14:paraId="70B16D1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b w:val="0"/>
          <w:sz w:val="0"/>
          <w:szCs w:val="0"/>
        </w:rPr>
        <w:br w:type="page"/>
      </w: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3971C0F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5552C7F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2024年度收入总计2,235.72万元，</w:t>
      </w:r>
      <w:r>
        <w:rPr>
          <w:rFonts w:ascii="仿宋_GB2312" w:eastAsia="仿宋_GB2312"/>
          <w:b w:val="0"/>
          <w:sz w:val="32"/>
          <w:szCs w:val="32"/>
        </w:rPr>
        <w:t>其中：本年收入合计1,966.86万元，使用非财政拨款结余（含专用结余）0.00万元，年初结转和结余268.87万元。</w:t>
      </w:r>
    </w:p>
    <w:p w14:paraId="3260FE4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2024年度支出总计2,235.72万元，</w:t>
      </w:r>
      <w:r>
        <w:rPr>
          <w:rFonts w:ascii="仿宋_GB2312" w:eastAsia="仿宋_GB2312"/>
          <w:b w:val="0"/>
          <w:sz w:val="32"/>
          <w:szCs w:val="32"/>
        </w:rPr>
        <w:t>其中：本年支出合计1,683.10万元，结余分配0.00万元，年末结转和结余552.62万元。</w:t>
      </w:r>
    </w:p>
    <w:p w14:paraId="2887316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增加402.86万元，增长21.98%，主要原因是：</w:t>
      </w:r>
      <w:r>
        <w:rPr>
          <w:rFonts w:hint="eastAsia" w:ascii="仿宋_GB2312" w:eastAsia="仿宋_GB2312"/>
          <w:b w:val="0"/>
          <w:sz w:val="32"/>
          <w:szCs w:val="32"/>
          <w:lang w:val="en-US" w:eastAsia="zh-CN"/>
        </w:rPr>
        <w:t>一是</w:t>
      </w:r>
      <w:r>
        <w:rPr>
          <w:rFonts w:ascii="仿宋_GB2312" w:eastAsia="仿宋_GB2312"/>
          <w:b w:val="0"/>
          <w:sz w:val="32"/>
          <w:szCs w:val="32"/>
        </w:rPr>
        <w:t>因工资普调、社保基数上涨，人员经费较上年增加；</w:t>
      </w:r>
      <w:r>
        <w:rPr>
          <w:rFonts w:hint="eastAsia" w:ascii="仿宋_GB2312" w:eastAsia="仿宋_GB2312"/>
          <w:b w:val="0"/>
          <w:sz w:val="32"/>
          <w:szCs w:val="32"/>
          <w:lang w:val="en-US" w:eastAsia="zh-CN"/>
        </w:rPr>
        <w:t>二是项目支出中，本年度</w:t>
      </w:r>
      <w:r>
        <w:rPr>
          <w:rFonts w:ascii="仿宋_GB2312" w:eastAsia="仿宋_GB2312"/>
          <w:b w:val="0"/>
          <w:sz w:val="32"/>
          <w:szCs w:val="32"/>
        </w:rPr>
        <w:t>追加财政拨款项目和横向课题项目</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因此项目经费上涨</w:t>
      </w:r>
      <w:r>
        <w:rPr>
          <w:rFonts w:ascii="仿宋_GB2312" w:eastAsia="仿宋_GB2312"/>
          <w:b w:val="0"/>
          <w:sz w:val="32"/>
          <w:szCs w:val="32"/>
        </w:rPr>
        <w:t>。</w:t>
      </w:r>
    </w:p>
    <w:p w14:paraId="113535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5EC5546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本年收入1,966.86万元，</w:t>
      </w:r>
      <w:r>
        <w:rPr>
          <w:rFonts w:ascii="仿宋_GB2312" w:eastAsia="仿宋_GB2312"/>
          <w:b w:val="0"/>
          <w:sz w:val="32"/>
          <w:szCs w:val="32"/>
        </w:rPr>
        <w:t>其中：财政拨款收入1,212.45万元,占61.64%；上级补助收入0.00万元,占0.00%；事业收入753.80万元，占38.33%；经营收入0.00万元,占0.00%；附属单位上缴收入0.00万元，占0.00%；其他收入0.60万元，占0.03%。</w:t>
      </w:r>
    </w:p>
    <w:p w14:paraId="7AABE7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6BD1C83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本年支出1,683.10万元，</w:t>
      </w:r>
      <w:r>
        <w:rPr>
          <w:rFonts w:ascii="仿宋_GB2312" w:eastAsia="仿宋_GB2312"/>
          <w:b w:val="0"/>
          <w:sz w:val="32"/>
          <w:szCs w:val="32"/>
        </w:rPr>
        <w:t>其中：基本支出629.49万元，占37.40%；项目支出1,053.61万元，占62.60%；上缴上级支出0.00万元，占0.00%；经营支出0.00万元，占0.00%；对附属单位补助支出0.00万元，占0.00%。</w:t>
      </w:r>
    </w:p>
    <w:p w14:paraId="6C5BA7F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5CAF1F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2024年度财政拨款收入总计1,230.14万元，</w:t>
      </w:r>
      <w:r>
        <w:rPr>
          <w:rFonts w:ascii="仿宋_GB2312" w:eastAsia="仿宋_GB2312"/>
          <w:b w:val="0"/>
          <w:sz w:val="32"/>
          <w:szCs w:val="32"/>
        </w:rPr>
        <w:t>其中：年初财政拨款结转和结余17.69万元，本年财政拨款收入1,212.45万元。</w:t>
      </w:r>
      <w:r>
        <w:rPr>
          <w:rFonts w:ascii="仿宋_GB2312" w:eastAsia="仿宋_GB2312"/>
          <w:b/>
          <w:bCs/>
          <w:sz w:val="32"/>
          <w:szCs w:val="32"/>
        </w:rPr>
        <w:t>财政拨款支出总计1,230.14万元，</w:t>
      </w:r>
      <w:r>
        <w:rPr>
          <w:rFonts w:ascii="仿宋_GB2312" w:eastAsia="仿宋_GB2312"/>
          <w:b w:val="0"/>
          <w:sz w:val="32"/>
          <w:szCs w:val="32"/>
        </w:rPr>
        <w:t>其中：年末财政拨款结转和结余0.00万元，本年财政拨款支出1,230.14万元。</w:t>
      </w:r>
    </w:p>
    <w:p w14:paraId="4CC387F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减少60.03万元，下降4.65%，主要原因是：上年部分财政拨款延续项目执行结束，本年财政拨款项目经费减少。</w:t>
      </w:r>
      <w:r>
        <w:rPr>
          <w:rFonts w:ascii="仿宋_GB2312" w:eastAsia="仿宋_GB2312"/>
          <w:b/>
          <w:bCs/>
          <w:sz w:val="32"/>
          <w:szCs w:val="32"/>
        </w:rPr>
        <w:t>与年初预算相比，</w:t>
      </w:r>
      <w:r>
        <w:rPr>
          <w:rFonts w:ascii="仿宋_GB2312" w:eastAsia="仿宋_GB2312"/>
          <w:b w:val="0"/>
          <w:sz w:val="32"/>
          <w:szCs w:val="32"/>
        </w:rPr>
        <w:t>年初预算数688.30万元，决算数1,230.14万元，预决算差异率78.72%，主要原因是：追加了在职人员政策性增资及</w:t>
      </w:r>
      <w:r>
        <w:rPr>
          <w:rFonts w:hint="eastAsia" w:ascii="仿宋_GB2312" w:eastAsia="仿宋_GB2312"/>
          <w:b w:val="0"/>
          <w:sz w:val="32"/>
          <w:szCs w:val="32"/>
          <w:lang w:eastAsia="zh-CN"/>
        </w:rPr>
        <w:t>本年度追加</w:t>
      </w:r>
      <w:r>
        <w:rPr>
          <w:rFonts w:ascii="仿宋_GB2312" w:eastAsia="仿宋_GB2312"/>
          <w:b w:val="0"/>
          <w:sz w:val="32"/>
          <w:szCs w:val="32"/>
        </w:rPr>
        <w:t>财政拨款项目经费等</w:t>
      </w:r>
      <w:r>
        <w:rPr>
          <w:rFonts w:hint="eastAsia" w:ascii="仿宋_GB2312" w:eastAsia="仿宋_GB2312"/>
          <w:b w:val="0"/>
          <w:sz w:val="32"/>
          <w:szCs w:val="32"/>
          <w:lang w:eastAsia="zh-CN"/>
        </w:rPr>
        <w:t>，因此</w:t>
      </w:r>
      <w:r>
        <w:rPr>
          <w:rFonts w:ascii="仿宋_GB2312" w:eastAsia="仿宋_GB2312"/>
          <w:b w:val="0"/>
          <w:sz w:val="32"/>
          <w:szCs w:val="32"/>
        </w:rPr>
        <w:t>财政拨款收入支出</w:t>
      </w:r>
      <w:r>
        <w:rPr>
          <w:rFonts w:hint="eastAsia" w:ascii="仿宋_GB2312" w:eastAsia="仿宋_GB2312"/>
          <w:b w:val="0"/>
          <w:sz w:val="32"/>
          <w:szCs w:val="32"/>
          <w:lang w:eastAsia="zh-CN"/>
        </w:rPr>
        <w:t>较上年增长</w:t>
      </w:r>
      <w:r>
        <w:rPr>
          <w:rFonts w:ascii="仿宋_GB2312" w:eastAsia="仿宋_GB2312"/>
          <w:b w:val="0"/>
          <w:sz w:val="32"/>
          <w:szCs w:val="32"/>
        </w:rPr>
        <w:t>。</w:t>
      </w:r>
    </w:p>
    <w:p w14:paraId="721FE6F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2CD58F2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64A011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2024年度一般公共预算财政拨款支出1,230.14万元，</w:t>
      </w:r>
      <w:r>
        <w:rPr>
          <w:rFonts w:ascii="仿宋_GB2312" w:eastAsia="仿宋_GB2312"/>
          <w:b w:val="0"/>
          <w:sz w:val="32"/>
          <w:szCs w:val="32"/>
        </w:rPr>
        <w:t>占本年支出合计的73.09%。</w:t>
      </w:r>
      <w:r>
        <w:rPr>
          <w:rFonts w:ascii="仿宋_GB2312" w:eastAsia="仿宋_GB2312"/>
          <w:b/>
          <w:bCs/>
          <w:sz w:val="32"/>
          <w:szCs w:val="32"/>
        </w:rPr>
        <w:t>与上年相比，</w:t>
      </w:r>
      <w:r>
        <w:rPr>
          <w:rFonts w:ascii="仿宋_GB2312" w:eastAsia="仿宋_GB2312"/>
          <w:b w:val="0"/>
          <w:sz w:val="32"/>
          <w:szCs w:val="32"/>
        </w:rPr>
        <w:t>减少42.34万元，下降3.33%，主要原因是：上年部分财政拨款延续项目执行结束，导致本年财政拨款项目支出减少。</w:t>
      </w:r>
      <w:r>
        <w:rPr>
          <w:rFonts w:ascii="仿宋_GB2312" w:eastAsia="仿宋_GB2312"/>
          <w:b/>
          <w:bCs/>
          <w:sz w:val="32"/>
          <w:szCs w:val="32"/>
        </w:rPr>
        <w:t>与年初预算相比，</w:t>
      </w:r>
      <w:r>
        <w:rPr>
          <w:rFonts w:ascii="仿宋_GB2312" w:eastAsia="仿宋_GB2312"/>
          <w:b w:val="0"/>
          <w:sz w:val="32"/>
          <w:szCs w:val="32"/>
        </w:rPr>
        <w:t>年初预算数688.30万元，决算数1,230.14万元，预决算差异率78.72%，主要原因是：预算执行中追加了2023年年度考核奖、2024年调增基本工资及</w:t>
      </w:r>
      <w:r>
        <w:rPr>
          <w:rFonts w:hint="eastAsia" w:ascii="仿宋_GB2312" w:eastAsia="仿宋_GB2312"/>
          <w:b w:val="0"/>
          <w:sz w:val="32"/>
          <w:szCs w:val="32"/>
          <w:lang w:eastAsia="zh-CN"/>
        </w:rPr>
        <w:t>追加</w:t>
      </w:r>
      <w:r>
        <w:rPr>
          <w:rFonts w:ascii="仿宋_GB2312" w:eastAsia="仿宋_GB2312"/>
          <w:b w:val="0"/>
          <w:sz w:val="32"/>
          <w:szCs w:val="32"/>
        </w:rPr>
        <w:t>财政拨款项目经费等。</w:t>
      </w:r>
    </w:p>
    <w:p w14:paraId="619EF1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44968C7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科学技术支出（类）763.86万元，占62.10%。</w:t>
      </w:r>
    </w:p>
    <w:p w14:paraId="396CC0B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农林水支出（类）466.28万元，占37.90%。</w:t>
      </w:r>
    </w:p>
    <w:p w14:paraId="4B02D57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6ADB8D4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1、科学技术支出（类）基础研究（款）科技人才队伍建设（项）：支出决算数为125.38万元，比上年决算减少204.93万元，下降62.04%，主要原因是：本年</w:t>
      </w:r>
      <w:r>
        <w:rPr>
          <w:rFonts w:hint="eastAsia" w:ascii="仿宋_GB2312" w:eastAsia="仿宋_GB2312"/>
          <w:b w:val="0"/>
          <w:sz w:val="32"/>
          <w:szCs w:val="32"/>
          <w:lang w:eastAsia="zh-CN"/>
        </w:rPr>
        <w:t>《核桃种质创新与轻简高效栽培技术创新团队》</w:t>
      </w:r>
      <w:r>
        <w:rPr>
          <w:rFonts w:ascii="仿宋_GB2312" w:eastAsia="仿宋_GB2312"/>
          <w:b w:val="0"/>
          <w:sz w:val="32"/>
          <w:szCs w:val="32"/>
        </w:rPr>
        <w:t>项目经费安排比上年减少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项目支出数较上年减少。</w:t>
      </w:r>
    </w:p>
    <w:p w14:paraId="653BE5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2、科学技术支出（类）应用研究（款）机构运行（项）：支出决算数为628.88万元，比上年决算增加28.78万元，增长4.80%，主要原因是：因工资普调和社保基数上涨</w:t>
      </w:r>
      <w:r>
        <w:rPr>
          <w:rFonts w:hint="eastAsia" w:ascii="仿宋_GB2312" w:eastAsia="仿宋_GB2312"/>
          <w:b w:val="0"/>
          <w:sz w:val="32"/>
          <w:szCs w:val="32"/>
          <w:lang w:val="en-US" w:eastAsia="zh-CN"/>
        </w:rPr>
        <w:t>因此</w:t>
      </w:r>
      <w:r>
        <w:rPr>
          <w:rFonts w:ascii="仿宋_GB2312" w:eastAsia="仿宋_GB2312"/>
          <w:b w:val="0"/>
          <w:sz w:val="32"/>
          <w:szCs w:val="32"/>
        </w:rPr>
        <w:t>人员经费较上年增加。</w:t>
      </w:r>
    </w:p>
    <w:p w14:paraId="2747330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3、科学技术支出（类）科技条件与服务（款）其他科技条件与服务支出（项）：支出决算数为9.60万元，比上年决算减少3.68万元，下降27.71%，主要原因是：2024年度自治区</w:t>
      </w:r>
      <w:r>
        <w:rPr>
          <w:rFonts w:hint="eastAsia" w:ascii="仿宋_GB2312" w:eastAsia="仿宋_GB2312"/>
          <w:b w:val="0"/>
          <w:sz w:val="32"/>
          <w:szCs w:val="32"/>
          <w:lang w:eastAsia="zh-CN"/>
        </w:rPr>
        <w:t>“</w:t>
      </w:r>
      <w:r>
        <w:rPr>
          <w:rFonts w:ascii="仿宋_GB2312" w:eastAsia="仿宋_GB2312"/>
          <w:b w:val="0"/>
          <w:sz w:val="32"/>
          <w:szCs w:val="32"/>
        </w:rPr>
        <w:t>三区</w:t>
      </w:r>
      <w:r>
        <w:rPr>
          <w:rFonts w:hint="eastAsia" w:ascii="仿宋_GB2312" w:eastAsia="仿宋_GB2312"/>
          <w:b w:val="0"/>
          <w:sz w:val="32"/>
          <w:szCs w:val="32"/>
          <w:lang w:eastAsia="zh-CN"/>
        </w:rPr>
        <w:t>”</w:t>
      </w:r>
      <w:r>
        <w:rPr>
          <w:rFonts w:ascii="仿宋_GB2312" w:eastAsia="仿宋_GB2312"/>
          <w:b w:val="0"/>
          <w:sz w:val="32"/>
          <w:szCs w:val="32"/>
        </w:rPr>
        <w:t>科技人才支持计划项目经费安排比上年减少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项目支出数较上年减少。</w:t>
      </w:r>
    </w:p>
    <w:p w14:paraId="2FE553B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4、农林水支出（类）农业农村（款）科技转化与推广服务（项）：支出决算数为17.00万元，比上年决算增加17.00万元，增长</w:t>
      </w:r>
      <w:r>
        <w:rPr>
          <w:rFonts w:hint="eastAsia" w:ascii="仿宋_GB2312" w:eastAsia="仿宋_GB2312"/>
          <w:b w:val="0"/>
          <w:sz w:val="32"/>
          <w:szCs w:val="32"/>
          <w:lang w:val="en-US" w:eastAsia="zh-CN"/>
        </w:rPr>
        <w:t>10</w:t>
      </w:r>
      <w:r>
        <w:rPr>
          <w:rFonts w:ascii="仿宋_GB2312" w:eastAsia="仿宋_GB2312"/>
          <w:b w:val="0"/>
          <w:sz w:val="32"/>
          <w:szCs w:val="32"/>
        </w:rPr>
        <w:t>0.00%，主要原因是：</w:t>
      </w:r>
      <w:r>
        <w:rPr>
          <w:rFonts w:hint="eastAsia" w:ascii="仿宋_GB2312" w:eastAsia="仿宋_GB2312"/>
          <w:b w:val="0"/>
          <w:sz w:val="32"/>
          <w:szCs w:val="32"/>
          <w:lang w:val="en-US" w:eastAsia="zh-CN"/>
        </w:rPr>
        <w:t>2024年度“天山英才”计划-三农骨干人才项目因功能科目细化</w:t>
      </w:r>
      <w:r>
        <w:rPr>
          <w:rFonts w:ascii="仿宋_GB2312" w:eastAsia="仿宋_GB2312"/>
          <w:b w:val="0"/>
          <w:sz w:val="32"/>
          <w:szCs w:val="32"/>
        </w:rPr>
        <w:t>，</w:t>
      </w:r>
      <w:r>
        <w:rPr>
          <w:rFonts w:hint="eastAsia" w:ascii="仿宋_GB2312" w:eastAsia="仿宋_GB2312"/>
          <w:b w:val="0"/>
          <w:sz w:val="32"/>
          <w:szCs w:val="32"/>
          <w:lang w:eastAsia="zh-CN"/>
        </w:rPr>
        <w:t>调整到</w:t>
      </w:r>
      <w:r>
        <w:rPr>
          <w:rFonts w:ascii="仿宋_GB2312" w:eastAsia="仿宋_GB2312"/>
          <w:b w:val="0"/>
          <w:sz w:val="32"/>
          <w:szCs w:val="32"/>
        </w:rPr>
        <w:t>农林水支出（类）农业农村（款）科技转化与推广服务（项）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因此项目支出较上年增加</w:t>
      </w:r>
      <w:r>
        <w:rPr>
          <w:rFonts w:ascii="仿宋_GB2312" w:eastAsia="仿宋_GB2312"/>
          <w:b w:val="0"/>
          <w:sz w:val="32"/>
          <w:szCs w:val="32"/>
        </w:rPr>
        <w:t>。</w:t>
      </w:r>
    </w:p>
    <w:p w14:paraId="24E85FF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5、农林水支出（类）林业和草原（款）技术推广与转化（项）：支出决算数为384.28万元，比上年决算增加165.48万元，增长75.63%，主要原因是：</w:t>
      </w:r>
      <w:r>
        <w:rPr>
          <w:rFonts w:hint="eastAsia" w:ascii="仿宋_GB2312" w:eastAsia="仿宋_GB2312"/>
          <w:b w:val="0"/>
          <w:sz w:val="32"/>
          <w:szCs w:val="32"/>
          <w:lang w:val="en-US" w:eastAsia="zh-CN"/>
        </w:rPr>
        <w:t>2023年度中央财政林业草原改革发展资金林草推广示范项目结转经费及2024年当年中央财政林业草原改革发展资金林草推广示范项目经费，因此</w:t>
      </w:r>
      <w:r>
        <w:rPr>
          <w:rFonts w:ascii="仿宋_GB2312" w:eastAsia="仿宋_GB2312"/>
          <w:b w:val="0"/>
          <w:sz w:val="32"/>
          <w:szCs w:val="32"/>
        </w:rPr>
        <w:t>项目支出数较上年增加。</w:t>
      </w:r>
    </w:p>
    <w:p w14:paraId="600684D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6、农林水支出（类）林业和草原（款）其他林业和草原支出（项）：支出决算数为65.00万元，比上年决算减少45.00万元，下降40.91%，主要原因是：</w:t>
      </w:r>
      <w:r>
        <w:rPr>
          <w:rFonts w:hint="eastAsia" w:ascii="仿宋_GB2312" w:eastAsia="仿宋_GB2312"/>
          <w:b w:val="0"/>
          <w:sz w:val="32"/>
          <w:szCs w:val="32"/>
          <w:lang w:val="en-US" w:eastAsia="zh-CN"/>
        </w:rPr>
        <w:t>2024年自治区林草专项-林草科技项目</w:t>
      </w:r>
      <w:r>
        <w:rPr>
          <w:rFonts w:hint="eastAsia" w:ascii="仿宋_GB2312" w:eastAsia="仿宋_GB2312"/>
          <w:b w:val="0"/>
          <w:sz w:val="32"/>
          <w:szCs w:val="32"/>
          <w:lang w:eastAsia="zh-CN"/>
        </w:rPr>
        <w:t>经费</w:t>
      </w:r>
      <w:r>
        <w:rPr>
          <w:rFonts w:ascii="仿宋_GB2312" w:eastAsia="仿宋_GB2312"/>
          <w:b w:val="0"/>
          <w:sz w:val="32"/>
          <w:szCs w:val="32"/>
        </w:rPr>
        <w:t>较上年减少，</w:t>
      </w:r>
      <w:r>
        <w:rPr>
          <w:rFonts w:hint="eastAsia" w:ascii="仿宋_GB2312" w:eastAsia="仿宋_GB2312"/>
          <w:b w:val="0"/>
          <w:sz w:val="32"/>
          <w:szCs w:val="32"/>
          <w:lang w:val="en-US" w:eastAsia="zh-CN"/>
        </w:rPr>
        <w:t>因此</w:t>
      </w:r>
      <w:r>
        <w:rPr>
          <w:rFonts w:ascii="仿宋_GB2312" w:eastAsia="仿宋_GB2312"/>
          <w:b w:val="0"/>
          <w:sz w:val="32"/>
          <w:szCs w:val="32"/>
        </w:rPr>
        <w:t>项目支出数较上年减少。</w:t>
      </w:r>
    </w:p>
    <w:p w14:paraId="6CD8191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086225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bCs w:val="0"/>
          <w:sz w:val="32"/>
          <w:szCs w:val="32"/>
        </w:rPr>
        <w:t>2024年度一般公共预算财政拨款基本支出628.88万元，</w:t>
      </w:r>
      <w:r>
        <w:rPr>
          <w:rFonts w:ascii="仿宋_GB2312" w:eastAsia="仿宋_GB2312"/>
          <w:b w:val="0"/>
          <w:sz w:val="32"/>
          <w:szCs w:val="32"/>
        </w:rPr>
        <w:t>其中：</w:t>
      </w:r>
      <w:r>
        <w:rPr>
          <w:rFonts w:ascii="仿宋_GB2312" w:eastAsia="仿宋_GB2312"/>
          <w:b/>
          <w:bCs/>
          <w:sz w:val="32"/>
          <w:szCs w:val="32"/>
        </w:rPr>
        <w:t>人员经费588.33万元</w:t>
      </w:r>
      <w:r>
        <w:rPr>
          <w:rFonts w:ascii="仿宋_GB2312" w:eastAsia="仿宋_GB2312"/>
          <w:b w:val="0"/>
          <w:sz w:val="32"/>
          <w:szCs w:val="32"/>
        </w:rPr>
        <w:t>，包括：基本工资、津贴补贴、奖金、绩效工资、机关事业单位基本养老保险缴费、职工基本医疗保险缴费、公务员医疗补助缴费、其他社会保障缴费、住房公积金、退休费、生活补助和其他对个人和家庭的补助。</w:t>
      </w:r>
    </w:p>
    <w:p w14:paraId="03BE7B6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公用经费40.56万元，</w:t>
      </w:r>
      <w:r>
        <w:rPr>
          <w:rFonts w:ascii="仿宋_GB2312" w:eastAsia="仿宋_GB2312"/>
          <w:b w:val="0"/>
          <w:sz w:val="32"/>
          <w:szCs w:val="32"/>
        </w:rPr>
        <w:t>包括：办公费、水费、电费、邮电费、取暖费、差旅费、维修（护）费、专用材料费、劳务费、委托业务费、工会经费、福利费、税金及附加费用和办公设备购置。</w:t>
      </w:r>
    </w:p>
    <w:p w14:paraId="3C9661B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2DCA5A3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3EC10D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4818596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7CFC9E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w:t>
      </w:r>
      <w:r>
        <w:rPr>
          <w:rFonts w:hint="eastAsia" w:ascii="黑体" w:hAnsi="黑体" w:eastAsia="黑体" w:cs="黑体"/>
          <w:b w:val="0"/>
          <w:sz w:val="32"/>
          <w:szCs w:val="32"/>
        </w:rPr>
        <w:t>拨款</w:t>
      </w:r>
      <w:r>
        <w:rPr>
          <w:rFonts w:hint="eastAsia" w:ascii="黑体" w:hAnsi="黑体" w:eastAsia="黑体" w:cs="黑体"/>
          <w:b w:val="0"/>
          <w:sz w:val="32"/>
          <w:szCs w:val="32"/>
          <w:lang w:eastAsia="zh-CN"/>
        </w:rPr>
        <w:t>“</w:t>
      </w:r>
      <w:r>
        <w:rPr>
          <w:rFonts w:hint="eastAsia" w:ascii="黑体" w:hAnsi="黑体" w:eastAsia="黑体" w:cs="黑体"/>
          <w:b w:val="0"/>
          <w:sz w:val="32"/>
          <w:szCs w:val="32"/>
        </w:rPr>
        <w:t>三公</w:t>
      </w:r>
      <w:r>
        <w:rPr>
          <w:rFonts w:hint="eastAsia" w:ascii="黑体" w:hAnsi="黑体" w:eastAsia="黑体" w:cs="黑体"/>
          <w:b w:val="0"/>
          <w:sz w:val="32"/>
          <w:szCs w:val="32"/>
          <w:lang w:eastAsia="zh-CN"/>
        </w:rPr>
        <w:t>”</w:t>
      </w:r>
      <w:r>
        <w:rPr>
          <w:rFonts w:hint="eastAsia" w:ascii="黑体" w:hAnsi="黑体" w:eastAsia="黑体" w:cs="黑体"/>
          <w:b w:val="0"/>
          <w:sz w:val="32"/>
          <w:szCs w:val="32"/>
        </w:rPr>
        <w:t>经费</w:t>
      </w:r>
      <w:r>
        <w:rPr>
          <w:rFonts w:ascii="黑体" w:eastAsia="黑体"/>
          <w:b w:val="0"/>
          <w:sz w:val="32"/>
          <w:szCs w:val="32"/>
        </w:rPr>
        <w:t>支出决算情况说明</w:t>
      </w:r>
    </w:p>
    <w:p w14:paraId="47C42AB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w:t>
      </w:r>
      <w:r>
        <w:rPr>
          <w:rFonts w:hint="eastAsia" w:ascii="仿宋_GB2312" w:eastAsia="仿宋_GB2312"/>
          <w:b/>
          <w:bCs/>
          <w:sz w:val="32"/>
          <w:szCs w:val="32"/>
          <w:lang w:eastAsia="zh-CN"/>
        </w:rPr>
        <w:t>“</w:t>
      </w:r>
      <w:r>
        <w:rPr>
          <w:rFonts w:ascii="仿宋_GB2312" w:eastAsia="仿宋_GB2312"/>
          <w:b/>
          <w:bCs/>
          <w:sz w:val="32"/>
          <w:szCs w:val="32"/>
        </w:rPr>
        <w:t>三公</w:t>
      </w:r>
      <w:r>
        <w:rPr>
          <w:rFonts w:hint="eastAsia" w:ascii="仿宋_GB2312" w:eastAsia="仿宋_GB2312"/>
          <w:b/>
          <w:bCs/>
          <w:sz w:val="32"/>
          <w:szCs w:val="32"/>
          <w:lang w:eastAsia="zh-CN"/>
        </w:rPr>
        <w:t>”</w:t>
      </w:r>
      <w:r>
        <w:rPr>
          <w:rFonts w:ascii="仿宋_GB2312" w:eastAsia="仿宋_GB2312"/>
          <w:b/>
          <w:bCs/>
          <w:sz w:val="32"/>
          <w:szCs w:val="32"/>
        </w:rPr>
        <w:t>经费支出0.00万元，</w:t>
      </w:r>
      <w:r>
        <w:rPr>
          <w:rFonts w:ascii="仿宋_GB2312" w:eastAsia="仿宋_GB2312"/>
          <w:b w:val="0"/>
          <w:sz w:val="32"/>
          <w:szCs w:val="32"/>
        </w:rPr>
        <w:t>与上年相比无变化，主要原因是：我单位2023年度与2024年度均未安排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支出0.00万元,占0.00%，与上年相比无变化，主要原因是：我单位2023年度与2024年度均未安排因公出国（境）费支出；公务用车购置及运行维护费支出0.00万元，占0.00%，与上年相比无变化，主要原因是：我单位2023年度与2024年度均未安排公务用车购置及运行维护费支出；公务接待费支出0.00万元，占0.00%，与上年相比无变化，主要原因是：我单位2023年度与2024年度均未安排公务接待费支出。</w:t>
      </w:r>
    </w:p>
    <w:p w14:paraId="53E3067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2404D3B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因公出国（境）费支出0.00万元，开支内容包括我单位严格执行因公出国（境）费标准，无相关支出。单位全年安排的因公出国（境）团组0个，因公出国（境）0人次。</w:t>
      </w:r>
    </w:p>
    <w:p w14:paraId="333CC58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严格执行公务用车购置费，因我单位无车辆，所以无相关支出。公务用车购置数0辆，公务用车保有量0辆。国有资产占用情况中固定资产车辆1辆，与公务用车保有量差异原因是：我单位车辆编制数量1辆，实际车辆0辆。</w:t>
      </w:r>
    </w:p>
    <w:p w14:paraId="42F1C41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公务接待费0.00万元，开支内容包括我单位严格执行公务接待费，无相关支出。单位全年安排的国内公务接待0批次，0人次。</w:t>
      </w:r>
    </w:p>
    <w:p w14:paraId="1ECFECC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经费支出全年预算数0.00万元，决算数0.00万元，预决算差异率0.00%，主要原因是：我单位2023年度与2024年度均未安排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全年预算数0.00万元，决算数0.00万元，预决算差异率0.00%，主要原因是：我单位2023年度与2024年度均未安排因公出国（境）费支出；公务用车购置费全年预算数0.00万元，决算数0.00万元，预决算差异率0.00%，主要原因是：我单位2023年度与2024年度均未安排公务用车购置费支出；公务用车运行维护费全年预算数0.00万元，决算数0.00万元，预决算差异率0.00%，主要原因是：我单位2023年度与2024年度均未安排公务用车运行维护费；公务接待费全年预算数0.00万元，决算数0.00万元，预决算差异率0.00%，主要原因是：我单位2023年度与2024年度均未安排公务接待费。</w:t>
      </w:r>
    </w:p>
    <w:p w14:paraId="68D0475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1AD7560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（一）机关运行经费及公用经费支出情况</w:t>
      </w:r>
    </w:p>
    <w:p w14:paraId="742BC7F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bCs/>
          <w:sz w:val="32"/>
          <w:szCs w:val="32"/>
        </w:rPr>
      </w:pPr>
      <w:r>
        <w:rPr>
          <w:rFonts w:ascii="仿宋_GB2312" w:eastAsia="仿宋_GB2312"/>
          <w:b w:val="0"/>
          <w:bCs/>
          <w:sz w:val="32"/>
          <w:szCs w:val="32"/>
        </w:rPr>
        <w:t>2024年度新疆林科院经济林研究所单位（事业单位）公用经费支出40.56万元，比上年减少0.89万元，下降2.15%，主要原因是：因积极响应</w:t>
      </w:r>
      <w:r>
        <w:rPr>
          <w:rFonts w:hint="eastAsia" w:ascii="仿宋_GB2312" w:eastAsia="仿宋_GB2312"/>
          <w:b w:val="0"/>
          <w:bCs/>
          <w:sz w:val="32"/>
          <w:szCs w:val="32"/>
          <w:lang w:eastAsia="zh-CN"/>
        </w:rPr>
        <w:t>“</w:t>
      </w:r>
      <w:r>
        <w:rPr>
          <w:rFonts w:ascii="仿宋_GB2312" w:eastAsia="仿宋_GB2312"/>
          <w:b w:val="0"/>
          <w:bCs/>
          <w:sz w:val="32"/>
          <w:szCs w:val="32"/>
        </w:rPr>
        <w:t>过紧日子</w:t>
      </w:r>
      <w:r>
        <w:rPr>
          <w:rFonts w:hint="eastAsia" w:ascii="仿宋_GB2312" w:eastAsia="仿宋_GB2312"/>
          <w:b w:val="0"/>
          <w:bCs/>
          <w:sz w:val="32"/>
          <w:szCs w:val="32"/>
          <w:lang w:eastAsia="zh-CN"/>
        </w:rPr>
        <w:t>”</w:t>
      </w:r>
      <w:r>
        <w:rPr>
          <w:rFonts w:ascii="仿宋_GB2312" w:eastAsia="仿宋_GB2312"/>
          <w:b w:val="0"/>
          <w:bCs/>
          <w:sz w:val="32"/>
          <w:szCs w:val="32"/>
        </w:rPr>
        <w:t>要求节约公用经费支出，导致公用经费较上</w:t>
      </w:r>
      <w:bookmarkStart w:id="0" w:name="_GoBack"/>
      <w:bookmarkEnd w:id="0"/>
      <w:r>
        <w:rPr>
          <w:rFonts w:ascii="仿宋_GB2312" w:eastAsia="仿宋_GB2312"/>
          <w:b w:val="0"/>
          <w:bCs/>
          <w:sz w:val="32"/>
          <w:szCs w:val="32"/>
        </w:rPr>
        <w:t>年减少。</w:t>
      </w:r>
    </w:p>
    <w:p w14:paraId="7624A8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（二）政府采购情况</w:t>
      </w:r>
    </w:p>
    <w:p w14:paraId="16CCA06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2024年度政府采购支出总额0.20万元，其中：政府采购货物支出0.20万元、政府采购工程支出0.00万元、政府采购服务支出0.00万元。</w:t>
      </w:r>
    </w:p>
    <w:p w14:paraId="7057DAA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授予中小企业合同金额0.20万元，占政府采购支出总额的100.00%，其中：授予小微企业合同金额0.20万元，占政府采购支出总额的100.00%。</w:t>
      </w:r>
    </w:p>
    <w:p w14:paraId="7F05E55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（三）国有资产占用情况说明</w:t>
      </w:r>
    </w:p>
    <w:p w14:paraId="14D94D4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19.59万元，其中：副部（省）级及以上领导用车0辆、主要负责人用车0辆、机要通信用车0辆、应急保障用车0辆、执法执勤用车0辆、特种专业技术用车0辆、离退休干部服务用车0辆、其他用车1辆，其他用车主要是：单位日常运行用车;单价100万元（含）以上设备（不含车辆）0台。</w:t>
      </w:r>
    </w:p>
    <w:p w14:paraId="28BC8AB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116511C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1,215.00万元，全年执行数452.36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75D31DB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22F9126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366D738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0B2A6AFD">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07A24DC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14:paraId="451ADC0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3614620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EABCE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29BA252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8FF765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3BA5E0F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14:paraId="49FB286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3710FAC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56D6E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7CF5A2D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531A176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73A47CD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35E4F3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49A92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1BCD574B">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90DA38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14:paraId="778436B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16A22A2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7FD32AB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4B9DB44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15229CE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5CF29D7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5B26F3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D7F869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26C1C1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E181A86"/>
    <w:rsid w:val="0F7B188B"/>
    <w:rsid w:val="100D3978"/>
    <w:rsid w:val="17296654"/>
    <w:rsid w:val="21F63C03"/>
    <w:rsid w:val="26575FB3"/>
    <w:rsid w:val="2BEA1F3E"/>
    <w:rsid w:val="2DA42A93"/>
    <w:rsid w:val="37C32CA7"/>
    <w:rsid w:val="43313F9C"/>
    <w:rsid w:val="46137B82"/>
    <w:rsid w:val="4C4942F0"/>
    <w:rsid w:val="50924778"/>
    <w:rsid w:val="56A03726"/>
    <w:rsid w:val="56E0430D"/>
    <w:rsid w:val="593863FF"/>
    <w:rsid w:val="5ED56831"/>
    <w:rsid w:val="5FA955BC"/>
    <w:rsid w:val="650E1406"/>
    <w:rsid w:val="69F75FC2"/>
    <w:rsid w:val="6BFB2C69"/>
    <w:rsid w:val="6F0F6499"/>
    <w:rsid w:val="72A472CD"/>
    <w:rsid w:val="75851EDF"/>
    <w:rsid w:val="77437C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5358</Words>
  <Characters>6010</Characters>
  <TotalTime>16</TotalTime>
  <ScaleCrop>false</ScaleCrop>
  <LinksUpToDate>false</LinksUpToDate>
  <CharactersWithSpaces>6010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2025-08-22T02:04:00Z</dcterms:created>
  <dc:creator>Administrator</dc:creator>
  <cp:lastModifiedBy>晶</cp:lastModifiedBy>
  <dcterms:modified xsi:type="dcterms:W3CDTF">2025-08-25T03:45:30Z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67344E73D4C74E5192C64940C46E27D7</vt:lpwstr>
  </property>
  <property fmtid="{D5CDD505-2E9C-101B-9397-08002B2CF9AE}" pid="4" name="KSOTemplateDocerSaveRecord">
    <vt:lpwstr>eyJoZGlkIjoiODFkN2IxNDhjZjg5NmQ2NGM2MDc2OTFlNWI4MDU2NDUiLCJ1c2VySWQiOiIyMzk3MjgxNjgifQ==</vt:lpwstr>
  </property>
</Properties>
</file>