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left"/>
        <w:textAlignment w:val="auto"/>
        <w:outlineLvl w:val="9"/>
        <w:rPr>
          <w:rFonts w:hint="default" w:ascii="Times New Roman" w:hAnsi="Times New Roman" w:eastAsia="仿宋_GB2312" w:cs="Times New Roman"/>
          <w:b w:val="0"/>
          <w:bCs w:val="0"/>
          <w:kern w:val="0"/>
          <w:sz w:val="32"/>
          <w:szCs w:val="32"/>
        </w:rPr>
      </w:pPr>
      <w:bookmarkStart w:id="0" w:name="_GoBack"/>
      <w:r>
        <w:rPr>
          <w:rFonts w:hint="default" w:ascii="Times New Roman" w:hAnsi="Times New Roman" w:eastAsia="仿宋_GB2312" w:cs="Times New Roman"/>
          <w:b w:val="0"/>
          <w:bCs w:val="0"/>
          <w:kern w:val="0"/>
          <w:sz w:val="32"/>
          <w:szCs w:val="32"/>
        </w:rPr>
        <w:t>附件2：</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方正小标宋简体" w:cs="Times New Roman"/>
          <w:b w:val="0"/>
          <w:bCs w:val="0"/>
          <w:kern w:val="0"/>
          <w:sz w:val="44"/>
          <w:szCs w:val="44"/>
        </w:rPr>
      </w:pPr>
      <w:r>
        <w:rPr>
          <w:rFonts w:hint="default" w:ascii="Times New Roman" w:hAnsi="Times New Roman" w:eastAsia="方正小标宋简体" w:cs="Times New Roman"/>
          <w:b w:val="0"/>
          <w:bCs w:val="0"/>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 xml:space="preserve">（   </w:t>
      </w:r>
      <w:r>
        <w:rPr>
          <w:rStyle w:val="17"/>
          <w:rFonts w:hint="default" w:ascii="Times New Roman" w:hAnsi="Times New Roman" w:eastAsia="仿宋_GB2312" w:cs="Times New Roman"/>
          <w:b w:val="0"/>
          <w:bCs w:val="0"/>
          <w:spacing w:val="-4"/>
          <w:sz w:val="32"/>
          <w:szCs w:val="32"/>
        </w:rPr>
        <w:t>2024</w:t>
      </w:r>
      <w:r>
        <w:rPr>
          <w:rFonts w:hint="default" w:ascii="Times New Roman" w:hAnsi="Times New Roman" w:eastAsia="仿宋_GB2312" w:cs="Times New Roman"/>
          <w:b w:val="0"/>
          <w:bCs w:val="0"/>
          <w:kern w:val="0"/>
          <w:sz w:val="32"/>
          <w:szCs w:val="32"/>
        </w:rPr>
        <w:t xml:space="preserve">  年度）</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项目名称：</w:t>
      </w:r>
      <w:r>
        <w:rPr>
          <w:rStyle w:val="17"/>
          <w:rFonts w:hint="default" w:ascii="Times New Roman" w:hAnsi="Times New Roman" w:eastAsia="仿宋_GB2312" w:cs="Times New Roman"/>
          <w:b w:val="0"/>
          <w:bCs w:val="0"/>
          <w:spacing w:val="-4"/>
          <w:sz w:val="32"/>
          <w:szCs w:val="32"/>
        </w:rPr>
        <w:t>新疆林科院造林治沙研究所项目</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b w:val="0"/>
          <w:bCs w:val="0"/>
          <w:kern w:val="0"/>
          <w:sz w:val="32"/>
          <w:szCs w:val="32"/>
        </w:rPr>
        <w:t xml:space="preserve">  实施单位（公章）：</w:t>
      </w:r>
      <w:r>
        <w:rPr>
          <w:rStyle w:val="17"/>
          <w:rFonts w:hint="default" w:ascii="Times New Roman" w:hAnsi="Times New Roman" w:eastAsia="仿宋_GB2312" w:cs="Times New Roman"/>
          <w:b w:val="0"/>
          <w:bCs w:val="0"/>
          <w:spacing w:val="-4"/>
          <w:sz w:val="32"/>
          <w:szCs w:val="32"/>
        </w:rPr>
        <w:t>新疆林科院造林治沙研究所</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b w:val="0"/>
          <w:bCs w:val="0"/>
          <w:kern w:val="0"/>
          <w:sz w:val="32"/>
          <w:szCs w:val="32"/>
        </w:rPr>
        <w:t>主管部门（公章）：</w:t>
      </w:r>
      <w:r>
        <w:rPr>
          <w:rStyle w:val="17"/>
          <w:rFonts w:hint="default" w:ascii="Times New Roman" w:hAnsi="Times New Roman" w:eastAsia="仿宋_GB2312" w:cs="Times New Roman"/>
          <w:b w:val="0"/>
          <w:bCs w:val="0"/>
          <w:spacing w:val="-4"/>
          <w:sz w:val="32"/>
          <w:szCs w:val="32"/>
        </w:rPr>
        <w:t>新疆林科院造林治沙研究所</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b w:val="0"/>
          <w:bCs w:val="0"/>
          <w:kern w:val="0"/>
          <w:sz w:val="32"/>
          <w:szCs w:val="32"/>
        </w:rPr>
        <w:t>项目负责人（签章）：</w:t>
      </w:r>
      <w:r>
        <w:rPr>
          <w:rStyle w:val="17"/>
          <w:rFonts w:hint="default" w:ascii="Times New Roman" w:hAnsi="Times New Roman" w:eastAsia="仿宋_GB2312" w:cs="Times New Roman"/>
          <w:b w:val="0"/>
          <w:bCs w:val="0"/>
          <w:spacing w:val="-4"/>
          <w:sz w:val="32"/>
          <w:szCs w:val="32"/>
        </w:rPr>
        <w:t>宁虎森</w:t>
      </w:r>
    </w:p>
    <w:p>
      <w:pPr>
        <w:keepNext w:val="0"/>
        <w:keepLines w:val="0"/>
        <w:pageBreakBefore w:val="0"/>
        <w:widowControl w:val="0"/>
        <w:kinsoku/>
        <w:wordWrap/>
        <w:overflowPunct/>
        <w:topLinePunct w:val="0"/>
        <w:autoSpaceDE/>
        <w:autoSpaceDN/>
        <w:bidi w:val="0"/>
        <w:adjustRightInd/>
        <w:snapToGrid/>
        <w:spacing w:line="578" w:lineRule="exact"/>
        <w:ind w:left="273" w:firstLine="567"/>
        <w:textAlignment w:val="auto"/>
        <w:outlineLvl w:val="9"/>
        <w:rPr>
          <w:rStyle w:val="17"/>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b w:val="0"/>
          <w:bCs w:val="0"/>
          <w:kern w:val="0"/>
          <w:sz w:val="32"/>
          <w:szCs w:val="32"/>
        </w:rPr>
        <w:t>填报时间：</w:t>
      </w:r>
      <w:r>
        <w:rPr>
          <w:rStyle w:val="17"/>
          <w:rFonts w:hint="default" w:ascii="Times New Roman" w:hAnsi="Times New Roman" w:eastAsia="仿宋_GB2312" w:cs="Times New Roman"/>
          <w:b w:val="0"/>
          <w:bCs w:val="0"/>
          <w:spacing w:val="-4"/>
          <w:sz w:val="32"/>
          <w:szCs w:val="32"/>
        </w:rPr>
        <w:t>2025年02月27日</w:t>
      </w:r>
    </w:p>
    <w:p>
      <w:pPr>
        <w:keepNext w:val="0"/>
        <w:keepLines w:val="0"/>
        <w:pageBreakBefore w:val="0"/>
        <w:widowControl w:val="0"/>
        <w:kinsoku/>
        <w:wordWrap/>
        <w:overflowPunct/>
        <w:topLinePunct w:val="0"/>
        <w:autoSpaceDE/>
        <w:autoSpaceDN/>
        <w:bidi w:val="0"/>
        <w:adjustRightInd/>
        <w:snapToGrid/>
        <w:spacing w:line="578" w:lineRule="exact"/>
        <w:ind w:firstLine="755" w:firstLineChars="236"/>
        <w:jc w:val="left"/>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楷体" w:cs="Times New Roman"/>
          <w:b w:val="0"/>
          <w:bCs w:val="0"/>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 w:cs="Times New Roman"/>
          <w:b w:val="0"/>
          <w:bCs w:val="0"/>
          <w:spacing w:val="-4"/>
          <w:sz w:val="32"/>
          <w:szCs w:val="32"/>
        </w:rPr>
        <w:t>1.主要内容及实施情况</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新疆林科院造林治沙研究所承担节水林业技术研究、防沙治沙技术研究、防护林研究、荒漠化环境及动态监测、荒漠林生物防治、苗木培育、抗旱树种选育。基于阿克苏河流域生态环境背景，针对阿克苏河流域山水林田湖草沙系统状况，辨析系统协调发展的驱动要素与重大生态环境问题；重点围绕阿克苏河流域山水林田湖草沙一体化保护修复项目，探索系统一体化保护和修复的生态工程技术与维护机制；研发形成适宜荒漠绿洲区水土高效利用和生态安全屏障构建的关键技术；集成阿克苏河流域山水林田湖草沙一体化保护修复维持和综合管理的技术体系与模式，建立示范区，服务、指导、应用于生态修复工程的实施，为区域生态建设和社会经济协调发展提供技术支撑和实践范例。利用"空-天-地"一体化技术手段，集成"点-线-面"多尺度研究方法，在环塔里木盆地及4个典型区开展以盐碱化、沙漠化为重点的荒漠化类型、程度和时空特征的综合科学考察。以新疆退化生态系统自然恢复潜力为入手点，诊断新疆荒漠化地区生态系统自然恢复的关键限制因子及其影响机制。基于“水、土、气、生”等监测数据构建综合评估指标，开展自然恢复潜力和重点生态工程生态效益评估。</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各项目在年度目标设定方面，要求项目单位在设置绩效指标值得过程中做到尽量细化，符合量化、细化的要求，为实际实施绩效监控和绩效评价工作打好基础。</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2.资金投入及使用情况</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（1）资金投入情况</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新疆林科院造林治沙研究所项目支出涉及资金1500.36万元，截止2024年12月31日项目资金已下拨1500.36万元，下拨完成率100%。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（2）使用情况</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截止2024年12月31日，该预算资金执行率为93.19%。</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default" w:ascii="Times New Roman" w:hAnsi="Times New Roman" w:eastAsia="楷体" w:cs="Times New Roman"/>
          <w:b w:val="0"/>
          <w:bCs w:val="0"/>
          <w:spacing w:val="-4"/>
          <w:sz w:val="32"/>
          <w:szCs w:val="32"/>
        </w:rPr>
      </w:pPr>
      <w:r>
        <w:rPr>
          <w:rStyle w:val="17"/>
          <w:rFonts w:hint="default" w:ascii="Times New Roman" w:hAnsi="Times New Roman" w:eastAsia="楷体" w:cs="Times New Roman"/>
          <w:b w:val="0"/>
          <w:bCs w:val="0"/>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 w:cs="Times New Roman"/>
          <w:b w:val="0"/>
          <w:bCs w:val="0"/>
          <w:spacing w:val="-4"/>
          <w:sz w:val="32"/>
          <w:szCs w:val="32"/>
        </w:rPr>
      </w:pPr>
      <w:r>
        <w:rPr>
          <w:rStyle w:val="17"/>
          <w:rFonts w:hint="default" w:ascii="Times New Roman" w:hAnsi="Times New Roman" w:eastAsia="仿宋" w:cs="Times New Roman"/>
          <w:b w:val="0"/>
          <w:bCs w:val="0"/>
          <w:spacing w:val="-4"/>
          <w:sz w:val="32"/>
          <w:szCs w:val="32"/>
        </w:rPr>
        <w:t>1、总体目标</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根据《新疆维吾尔自治区财政科研项目资金管理办法》（新财教〔2019〕196号）《新疆维吾尔自治区科技计划项目管理办法》（新科规〔2019〕1号），2024年新疆林科院造林治沙研究所项目支出涉及资金1500.36万元，旨在通过资源集成和核心技术突破，为产业化发展提供科技支撑和模式示范。项目目标计划5月完成总体目标的60%，8月完成总体目标的80%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 w:cs="Times New Roman"/>
          <w:b w:val="0"/>
          <w:bCs w:val="0"/>
          <w:spacing w:val="-4"/>
          <w:sz w:val="32"/>
          <w:szCs w:val="32"/>
        </w:rPr>
        <w:t>2、阶段性目标</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造林治沙研究所项目实施周期普遍为3-5年，项目坚持政产学研用相结合，注重培养人才，培育创新团队，获取自主知识产权。项目计划开展示范区常规管理工作，建设示范区500亩，示范区防护林保存率≥90%，提交科学报告1份，发表高质量论文1篇，行业、地方标准/规程/规范发布或完成申报1项，专题结题报告1份。专题实施方案1份。</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楷体" w:cs="Times New Roman"/>
          <w:b w:val="0"/>
          <w:bCs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 w:cs="Times New Roman"/>
          <w:b w:val="0"/>
          <w:bCs w:val="0"/>
          <w:spacing w:val="-4"/>
          <w:sz w:val="32"/>
          <w:szCs w:val="32"/>
        </w:rPr>
        <w:t>1.绩效评价目的</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通过对项目开展绩效评价，了解和掌握项目实施的具体情况，客观评价项目资金安排的科学性、合理性、规范性和资金使用成效，及时总结项目管理经验，完善项目管理办法，提高项目管理水平和资金的使用效益。</w:t>
      </w:r>
      <w:r>
        <w:rPr>
          <w:rStyle w:val="17"/>
          <w:rFonts w:hint="default" w:ascii="Times New Roman" w:hAnsi="Times New Roman" w:eastAsia="仿宋_GB2312" w:cs="Times New Roman"/>
          <w:b w:val="0"/>
          <w:bCs w:val="0"/>
          <w:spacing w:val="-4"/>
          <w:sz w:val="32"/>
          <w:szCs w:val="32"/>
        </w:rPr>
        <w:cr/>
      </w:r>
      <w:r>
        <w:rPr>
          <w:rStyle w:val="17"/>
          <w:rFonts w:hint="default" w:ascii="Times New Roman" w:hAnsi="Times New Roman" w:eastAsia="仿宋_GB2312" w:cs="Times New Roman"/>
          <w:b w:val="0"/>
          <w:bCs w:val="0"/>
          <w:spacing w:val="-4"/>
          <w:sz w:val="32"/>
          <w:szCs w:val="32"/>
        </w:rPr>
        <w:t>（2）促使各个项目负责人根据绩效评价中发现的问题，认真加以整改，及时调整和完善单位的工作计划和绩效目标并加强项目管理，提高管理水平，同时为项目后续资金投入、分配和管理提供决策依据。</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2.绩效评价对象</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本次评价从项目决策、项目管理、项目产出、项目效益四个维度进行评价，绩效评价对象为新疆林科院造林治沙研究所项目支出，涉及资金1500.36万元。</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楷体" w:cs="Times New Roman"/>
          <w:b w:val="0"/>
          <w:bCs w:val="0"/>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 w:cs="Times New Roman"/>
          <w:b w:val="0"/>
          <w:bCs w:val="0"/>
          <w:spacing w:val="-4"/>
          <w:sz w:val="32"/>
          <w:szCs w:val="32"/>
        </w:rPr>
      </w:pPr>
      <w:r>
        <w:rPr>
          <w:rStyle w:val="17"/>
          <w:rFonts w:hint="default" w:ascii="Times New Roman" w:hAnsi="Times New Roman" w:eastAsia="仿宋" w:cs="Times New Roman"/>
          <w:b w:val="0"/>
          <w:bCs w:val="0"/>
          <w:spacing w:val="-4"/>
          <w:sz w:val="32"/>
          <w:szCs w:val="32"/>
        </w:rPr>
        <w:t>1.绩效评价依据和原则</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新疆林科院造林治沙研究所项目实际开展情况，运用定量和定性分析相结合的方法，客观评价项目实施成效。</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根据以上原则，绩效评价应遵循如下要求：</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（1）在数据收集时，采取项目承担单位报送基础数据，业务处室进行审核的形式，以保证各项指标的真实性。</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（2）保证评价结果的真实性、公正性，提高评价报告的公信力。</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（3）绩效评价报告应当简明扼要，除了对绩效评价的过程、结果描述外，还应指出问题，并就共性问题提出可操作性改进建议。</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2.绩效评价指标体系</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本项目共设置项目决策、项目过程、项目产出、项目效益/满意度指标四个一级指标，并按科学及相关性要求分别设立二级和三级指标。项目绩效评价指标体系，评分表满分100分，见下表：</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项目支出绩效评价指标体系</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一级指标</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二级指标</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权重</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项目决策（20分）</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项目立项</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6</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绩效目标</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6</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资金投入</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8</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项目过程（20分）</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资金管理</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10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组织实施</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10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项目产出（40分）</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数量指标</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20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质量指标</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10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时效指标</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10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项目效果（20分）</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效益指标</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10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满意度指标</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10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合计</w:t>
      </w:r>
      <w:r>
        <w:rPr>
          <w:rStyle w:val="17"/>
          <w:rFonts w:hint="default" w:ascii="Times New Roman" w:hAnsi="Times New Roman" w:eastAsia="仿宋_GB2312" w:cs="Times New Roman"/>
          <w:b w:val="0"/>
          <w:bCs w:val="0"/>
          <w:spacing w:val="-4"/>
          <w:sz w:val="32"/>
          <w:szCs w:val="32"/>
        </w:rPr>
        <w:tab/>
      </w:r>
      <w:r>
        <w:rPr>
          <w:rStyle w:val="17"/>
          <w:rFonts w:hint="default" w:ascii="Times New Roman" w:hAnsi="Times New Roman" w:eastAsia="仿宋_GB2312" w:cs="Times New Roman"/>
          <w:b w:val="0"/>
          <w:bCs w:val="0"/>
          <w:spacing w:val="-4"/>
          <w:sz w:val="32"/>
          <w:szCs w:val="32"/>
        </w:rPr>
        <w:t>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在设计绩效评价指标体系时，首先确定总目标，根据权数逐级确定至三级指标的标准值，再分解至每项考查内容。每项考查内容依据实际考查结果评定，其中指标完成值由实施项目负责人提供的资料予以评定，指标完成值按照预期指标值评定，根据指标完成值确定指标完成情况。</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ab/>
      </w:r>
      <w:r>
        <w:rPr>
          <w:rStyle w:val="17"/>
          <w:rFonts w:hint="default" w:ascii="Times New Roman" w:hAnsi="Times New Roman" w:eastAsia="仿宋" w:cs="Times New Roman"/>
          <w:b w:val="0"/>
          <w:bCs w:val="0"/>
          <w:spacing w:val="-4"/>
          <w:sz w:val="32"/>
          <w:szCs w:val="32"/>
        </w:rPr>
        <w:t>3.评价方法</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项目绩效评价方法是通过对绩效目标与项目实施效果进行比较，综合分析绩效目标实现的程度。详细方法应用如下：</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比较法：通过梳理该项目实施方案和实际完成情况，评价产出指标的完成情况，分析项目实施后产生的效益效果。</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4.评价标准</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本项目评价指标体系的评价标准：对于定量指标，采用计划标准，以预先制定的目标、计划、预算、定额等作为评价标准，对比分析项目产出、效益的完成情况。对于定性指标，采用历史成本，通过查看项目资料，采集相关数据，评价指标的完成情况。</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楷体" w:cs="Times New Roman"/>
          <w:b w:val="0"/>
          <w:bCs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根据自治区财政厅绩效评价工作部署和要求，相关处室组织项目承担单位报送绩效自评报告，对项目绩效自评报告进行审核，对存在的疑问进行了核查。</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仿宋_GB2312" w:cs="Times New Roman"/>
          <w:b/>
          <w:bCs/>
          <w:spacing w:val="-4"/>
          <w:sz w:val="32"/>
          <w:szCs w:val="32"/>
        </w:rPr>
      </w:pPr>
      <w:r>
        <w:rPr>
          <w:rStyle w:val="17"/>
          <w:rFonts w:hint="default" w:ascii="Times New Roman" w:hAnsi="Times New Roman" w:eastAsia="仿宋_GB2312" w:cs="Times New Roman"/>
          <w:b/>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依据《项目支出绩效评价管理办法》（财预〔2020〕10号）文件，绩效评价总分设置为100分，划分为四档：90（含）-100分为优，80（含）-90分为良，60（含）-80分为中，60分以下为差。经综合分析评价，该计划项目得分83分，绩效等级评定为“良”。该项目重点解决产业发展以及阻碍林业生态效益的发挥，导致防护林退化威胁绿洲生态安全等问题的战略性、前瞻性核心关键技术瓶颈，着力推动新疆社会经济的可持续发展。</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仿宋_GB2312" w:cs="Times New Roman"/>
          <w:b w:val="0"/>
          <w:bCs w:val="0"/>
          <w:sz w:val="32"/>
          <w:szCs w:val="32"/>
        </w:rPr>
      </w:pPr>
      <w:r>
        <w:rPr>
          <w:rStyle w:val="17"/>
          <w:rFonts w:hint="default" w:ascii="Times New Roman" w:hAnsi="Times New Roman" w:eastAsia="黑体" w:cs="Times New Roman"/>
          <w:b w:val="0"/>
          <w:bCs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楷体" w:cs="Times New Roman"/>
          <w:b w:val="0"/>
          <w:bCs w:val="0"/>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default" w:ascii="Times New Roman" w:hAnsi="Times New Roman" w:eastAsia="仿宋" w:cs="Times New Roman"/>
          <w:b w:val="0"/>
          <w:bCs w:val="0"/>
          <w:spacing w:val="-4"/>
          <w:sz w:val="32"/>
          <w:szCs w:val="32"/>
        </w:rPr>
      </w:pPr>
      <w:r>
        <w:rPr>
          <w:rStyle w:val="17"/>
          <w:rFonts w:hint="default" w:ascii="Times New Roman" w:hAnsi="Times New Roman" w:eastAsia="仿宋" w:cs="Times New Roman"/>
          <w:b w:val="0"/>
          <w:bCs w:val="0"/>
          <w:spacing w:val="-4"/>
          <w:sz w:val="32"/>
          <w:szCs w:val="32"/>
        </w:rPr>
        <w:t>1.项目立项</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根据2023年第15次党委（扩大）会议纪要(林业科学院委员会会议纪要〔2023〕15号），审议通过《关于新疆林业科学院2024年度部门预算报表草案编制审核报送的请示》。立项依据符合政策要求，立项程序合规，由项目负责人编制立项申请书，内容包括项目背景与必要性、实施内容与方案、预算概算、预期成果、团队分工等，审批文件、材料符合相关要求。</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造林治沙研究所项目按照《新疆林科院科研项目及经费管理办法（试行）》(新林科院函〔2024〕34号），为规范和加强科研项目管理，实现项目管理的科学化、规范化、程序化、常态化，保证科研项目的顺利实施。项目事前已经过必要的可行性研究、专家论证、风险评估、绩效评估、集体决策。</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项目按照自治区科技和经济社会的发展目标筛选，贯彻执行党中央、国务院和自治区党委、政府关于落实创新驱动发展战略方针、政策。</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该指标满分为6分，根据评分标准得6分。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2.绩效目标</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造林治沙研究所项目支出绩效目标表》目标设定明确、量化、可衡量。各课题的项目支出绩效目标表、实施方案、项目合同书、项目自评报告或项目年度执行情况报告等资料齐全，项目绩效目标与实际工作内容相关。</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2024年新疆林科院造林治沙研究所项目支出绩效目标总任务为各课题计划完成的绩效目标合计，目标任务与计划数相对应。</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指标满分为6分，根据评分标准得6分。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3、资金投入</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根据《自治区财政科研项目资金管理办法》文件要求：“预算编制按照项目实施的合理需要，坚持目标相关性、政策相符性和资金合理性的原则。</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2024年新疆林科院造林治沙研究所项目各课题已按要求进行了预算编制，预算的编制有依据且与项目内容及工作任务相匹配，并经过财务专家评审。</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经济林研究所项目根据项目负责人提交的项目计划书及预算，了解项目特点、研究进度、资金需求等，结合各课题立项评审结果、财务专家建议，确保预算的编制有依据且与项目内容及工作任务相匹配。按照《自治区财政科研项目资金管理办法》中“合理确定资金拨付计划。自治区科技厅要根据不同类型项目特点、研究进度、资金需求等，合理制定财政科研项目资金拨付计划。</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该指标满分为8分，根据评分标准得8分。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 w:cs="Times New Roman"/>
          <w:b w:val="0"/>
          <w:bCs w:val="0"/>
          <w:spacing w:val="-4"/>
          <w:sz w:val="32"/>
          <w:szCs w:val="32"/>
        </w:rPr>
        <w:t>1.资金管理</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 xml:space="preserve">（1）B11资金到位率指标  </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资金到位率=（实际到位资金/预算资金）×100%。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项目总预算资金为1500.36万元，已分配至承担单位，到位率为100%。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该指标满分为4分，根据评分标准得4分。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 xml:space="preserve">（2）B11预算执行率  </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预算执行率=（实际使用资金/到位资金）×100%。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根据项目拨款情况统计表，截止2024年12月31日，预算执行率为93.19%。</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该指标满分为4分，根据评分标准得3分。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（3）B12资金使用合规性</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根据各项目提供的资金执行情况统计表，项目相关负责人在资金使用方面符合国家财经法规和财务管理制度以及有关专项资金管理办法的规定。</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该指标满分为2分，根据评分标准得2分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2.组织实施</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项目及各课题实施方案完整、且按年度对指标完成情况进行了细化，无重大调整。各项目均在实施初期阶段，基本能够按照实施方案和计划执行，单位内部按月提交进展报告，汇报任务完成情况及资金使用进度，科技厅每季度进行绩效管理和监控。</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造林治沙研究所项目均已根据《新疆林科院科研项目及经费管理办法（试行）》(新林科院函〔2024〕34号）相关要求制定了与科技项目管理相关的财务和业务管理制度，制度制定合法、合规、完整。</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 xml:space="preserve">2024年项目的实施遵守《中华人民共和国预算法》和《新疆林科院科研项目及经费管理办法（试行）》(新林科院函〔2024〕34号）相关规定；项目合同书、阶段成果技术鉴定等资料齐全。  </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该指标满分为10分，根据评分标准得10分。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项目产出评价指标权重分值共计40分，根据评分标准得分40分，失分10分，得30分，得分率75 %，具体如下：1.数量指标</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（1）C11绩效发放人数</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根据年初绩效目标，绩效发放人数共计10人，完成目标值。故得5分,得分率83.33%。</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该指标满分为6分，根据评分标准得5分。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（2）C12发放劳务费人数</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根据年初绩效目标，劳务费发放人数共计10人，完成目标值。故得5分,得分率83.33%。</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该指标满分为6分，根据评分标准得5分。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（3）C13购置材料数量</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根据年初绩效目标，项目执行中采购的各类原材料、设备、耗材等的总数量共计10批，完成目标值。故得5分,得分率83.33%。</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该指标满分为6分，根据评分标准得5分。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（4）C14建立试验示范区</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根据年初绩效目标，为验证技术或模式效果而建设的实体展示区域500亩，完成目标值。故得4分,得分率80%。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该指标满分为5分，根据评分标准得4分。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楷体" w:cs="Times New Roman"/>
          <w:b w:val="0"/>
          <w:bCs w:val="0"/>
          <w:spacing w:val="-4"/>
          <w:sz w:val="32"/>
          <w:szCs w:val="32"/>
        </w:rPr>
        <w:t>2.质量指标</w:t>
      </w:r>
      <w:r>
        <w:rPr>
          <w:rStyle w:val="17"/>
          <w:rFonts w:hint="default" w:ascii="Times New Roman" w:hAnsi="Times New Roman" w:eastAsia="楷体"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（1）C21项目合同履约率</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根据年初绩效目标，实际完成合同约定内容的比例为95%，完成目标值。故得4.5分,得分率90%。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该指标满分为5分，根据评分标准得4.5分。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（2）C22材料验收合格率</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根据年初绩效目标，采购材料通过质量检验的批次占总验收批次的比例为95%，完成目标值。故得3.5分,得分率87.5%。</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该指标满分为4分，根据评分标准得3.5分。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（3）C23监测合格率</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根据年初绩效目标，项目成果或过程通过监测标准的比例为98%，完成目标值。故得3.5分,得分率87.5%。</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该指标满分为4分，根据评分标准得3.5分。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楷体" w:cs="Times New Roman"/>
          <w:b w:val="0"/>
          <w:bCs w:val="0"/>
          <w:spacing w:val="-4"/>
          <w:sz w:val="32"/>
          <w:szCs w:val="32"/>
        </w:rPr>
        <w:t>3.时效指标</w:t>
      </w:r>
      <w:r>
        <w:rPr>
          <w:rStyle w:val="17"/>
          <w:rFonts w:hint="default" w:ascii="Times New Roman" w:hAnsi="Times New Roman" w:eastAsia="楷体"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rPr>
        <w:t>（1）C31资金发放及时率。</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根据年初绩效目标，按计划时间节点完成资金拨付的比例为90%，完成目标值。故得3.5分,得分率87.5%。</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该指标满分为4分，根据评分标准得3.5分。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楷体" w:cs="Times New Roman"/>
          <w:b w:val="0"/>
          <w:bCs w:val="0"/>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 w:cs="Times New Roman"/>
          <w:b w:val="0"/>
          <w:bCs w:val="0"/>
          <w:spacing w:val="-4"/>
          <w:sz w:val="32"/>
          <w:szCs w:val="32"/>
        </w:rPr>
        <w:t>(1)D11发表科研论文</w:t>
      </w:r>
      <w:r>
        <w:rPr>
          <w:rStyle w:val="17"/>
          <w:rFonts w:hint="default" w:ascii="Times New Roman" w:hAnsi="Times New Roman" w:eastAsia="仿宋"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发表科研论文1篇，小于目标值，故得0分。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该指标满分为10分，根据评分标准得0分。</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满意度指标：根据对2024年项目的满意度情况了解，受扶持单位及科研人员对项目主管单位的满意度95%，满意度较高。</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黑体" w:cs="Times New Roman"/>
          <w:b w:val="0"/>
          <w:bCs w:val="0"/>
          <w:spacing w:val="-4"/>
          <w:sz w:val="32"/>
          <w:szCs w:val="32"/>
          <w:lang w:eastAsia="zh-CN"/>
        </w:rPr>
        <w:t>五</w:t>
      </w:r>
      <w:r>
        <w:rPr>
          <w:rStyle w:val="17"/>
          <w:rFonts w:hint="default" w:ascii="Times New Roman" w:hAnsi="Times New Roman" w:eastAsia="黑体" w:cs="Times New Roman"/>
          <w:b w:val="0"/>
          <w:bCs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楷体" w:cs="Times New Roman"/>
          <w:b w:val="0"/>
          <w:bCs w:val="0"/>
          <w:spacing w:val="-4"/>
          <w:sz w:val="32"/>
          <w:szCs w:val="32"/>
        </w:rPr>
        <w:t>（一）项目整体实施进展情况、取得成效</w:t>
      </w:r>
      <w:r>
        <w:rPr>
          <w:rStyle w:val="17"/>
          <w:rFonts w:hint="default" w:ascii="Times New Roman" w:hAnsi="Times New Roman" w:eastAsia="楷体"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建立试验示范区面积500亩，发表相关论文1篇以上，提交研究报告1份；围绕生态修复水资源高效利用，依托艾西曼区域生态修复及荒漠化治理项目（中水）进行中水和微咸水高效利用关键技术研发，申请相关高咸水与再生水组合利用灌溉装置及方法发明专利1项，获得实用新型专利1项；面向典型保护区生态修复的旱区“河—库—闸”水系联通网络协同调控与决策系统内容的软件著作权1项；在服务、指导、应用于34个相关工程项目实施过程中，形成水资源高效利用和科学保护的典型经验做法或案例报告1-2篇。通过项目的实施，对行业和产业发展带来巨大的推动作用，提升科技创新在经济社会发展中的支撑引领作用。</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楷体" w:cs="Times New Roman"/>
          <w:b w:val="0"/>
          <w:bCs w:val="0"/>
          <w:spacing w:val="-4"/>
          <w:sz w:val="32"/>
          <w:szCs w:val="32"/>
        </w:rPr>
        <w:t>（二）经验及做法</w:t>
      </w:r>
      <w:r>
        <w:rPr>
          <w:rStyle w:val="17"/>
          <w:rFonts w:hint="default" w:ascii="Times New Roman" w:hAnsi="Times New Roman" w:eastAsia="楷体"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1.目标明确</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2024年项目围绕自治区经济社会发展目标，突出节水林业技术研究、防沙治沙技术研究、防护林研究、荒漠化环境及动态监测、荒漠林生物防治、苗木培育、抗旱树种选育，旨在通过资源集成和核心技术突破，努力实现以科技发展的局部跃升带动生产力的跨越发展。同时突出重点项目技术攻关和成果转化，注重经济和社会效益，加强市场预期评估和目标可行性评价，降低专项资金使用风险。</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强化项目管理。一是加强项目全过程管理，实行定期调研和不定期走访相结合、书面自评和现场考察相结合的方式，确保项目和资金安全。二是突出产业发展重点，科学谋划并组织实施项目，使科技项目真正服务区域主导产业发展，促进创新型产业集群形成，全面提升产业整体创新能力。三是项目绩效管理，严格按照财政厅相关工作要求，切实做到绩效目标管理、绩效运行监控、绩效支出自评价等全链条绩效闭环管理。对于履约不力、进度滞后的项目及时提醒督促、推动整改，确保项目按进度执行。</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楷体" w:cs="Times New Roman"/>
          <w:b w:val="0"/>
          <w:bCs w:val="0"/>
          <w:spacing w:val="-4"/>
          <w:sz w:val="32"/>
          <w:szCs w:val="32"/>
        </w:rPr>
        <w:t>（三）存在的问题及原因分析</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实际实施绩效监控和绩效评价时较为困难，在印证资料收集过程中，遇到数据质量参差不齐、数据分散不易整合等问题，导致印证资料收集效率低下，从而影响到绩效印证资料的未及时报送。同时绩效印证资料的收集需要经过多个处室，协作处室响应不及时、报送材料不合格等导致绩效印证资料未能及时报送。</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 xml:space="preserve">2.填报进度缓慢，质量参差不齐，部分项目存在资金执行效率迟缓问题。部分项目实施期受时令影响明显，项目一般于4月开始出差，于5月、6月返回报账。因此存在经费到位后未能按时支付，或者为不影响项目执行已提前支付，但经费到位后未及时报销等问题。 </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lang w:eastAsia="zh-CN"/>
        </w:rPr>
        <w:t>六</w:t>
      </w:r>
      <w:r>
        <w:rPr>
          <w:rStyle w:val="17"/>
          <w:rFonts w:hint="default" w:ascii="Times New Roman" w:hAnsi="Times New Roman" w:eastAsia="黑体" w:cs="Times New Roman"/>
          <w:b w:val="0"/>
          <w:bCs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楷体" w:cs="Times New Roman"/>
          <w:b w:val="0"/>
          <w:bCs w:val="0"/>
          <w:spacing w:val="-4"/>
          <w:sz w:val="32"/>
          <w:szCs w:val="32"/>
        </w:rPr>
        <w:t>（一）开展专题培训，加强专业能力建设</w:t>
      </w:r>
      <w:r>
        <w:rPr>
          <w:rStyle w:val="17"/>
          <w:rFonts w:hint="default" w:ascii="Times New Roman" w:hAnsi="Times New Roman" w:eastAsia="楷体"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针对财政人员，项目负责人、第三方机构开展绩效评价专题培训，重点提升数据分析和问题诊断能力。将绩效管理和财务管理有机结合落实到位，强化项目承担单位责任，以提高专项资金使用的规范性。</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楷体" w:cs="Times New Roman"/>
          <w:b w:val="0"/>
          <w:bCs w:val="0"/>
          <w:spacing w:val="-4"/>
          <w:sz w:val="32"/>
          <w:szCs w:val="32"/>
        </w:rPr>
        <w:t>（二）科学设置绩效评价指标，细化绩效管理工作</w:t>
      </w:r>
      <w:r>
        <w:rPr>
          <w:rStyle w:val="17"/>
          <w:rFonts w:hint="default" w:ascii="Times New Roman" w:hAnsi="Times New Roman" w:eastAsia="楷体"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建议根据项目历年指标完成情况，开展充分的数据分析，深入挖掘项目实施效益，充分考虑绩效目标及指标设置的科学合理性，细化绩效管理工作。</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楷体" w:cs="Times New Roman"/>
          <w:b w:val="0"/>
          <w:bCs w:val="0"/>
          <w:spacing w:val="-4"/>
          <w:sz w:val="32"/>
          <w:szCs w:val="32"/>
        </w:rPr>
        <w:t>（三）完善绩效评价工作机制</w:t>
      </w:r>
      <w:r>
        <w:rPr>
          <w:rStyle w:val="17"/>
          <w:rFonts w:hint="default" w:ascii="Times New Roman" w:hAnsi="Times New Roman" w:eastAsia="楷体"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建议财政厅相关业务处室针对科技计划项目先预算后立项、执行周期长等特点，在项目执行过程中每年开展一次绩效监控，对执行缓慢、自筹资金未及时到位的项目进行督促，注重绩效目标阶段性实现程度，以保障项目绩效目标的最终实现。</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lang w:eastAsia="zh-CN"/>
        </w:rPr>
        <w:t>七</w:t>
      </w:r>
      <w:r>
        <w:rPr>
          <w:rStyle w:val="17"/>
          <w:rFonts w:hint="default" w:ascii="Times New Roman" w:hAnsi="Times New Roman" w:eastAsia="黑体" w:cs="Times New Roman"/>
          <w:b w:val="0"/>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本次预算绩效评价所采集的数据因为采集时间、数据来源等诸多因素的影响，可能会出现一定的偏差，进而对评价结果存在影响。</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007787F"/>
    <w:rsid w:val="11B52547"/>
    <w:rsid w:val="17E87A2A"/>
    <w:rsid w:val="1A067E11"/>
    <w:rsid w:val="1FFF108C"/>
    <w:rsid w:val="27222623"/>
    <w:rsid w:val="318375F5"/>
    <w:rsid w:val="33236CF9"/>
    <w:rsid w:val="4C3D1751"/>
    <w:rsid w:val="4D2606A1"/>
    <w:rsid w:val="4FC57755"/>
    <w:rsid w:val="57CE66D8"/>
    <w:rsid w:val="681C3062"/>
    <w:rsid w:val="6FFC5D51"/>
    <w:rsid w:val="73D508C6"/>
    <w:rsid w:val="755B5775"/>
    <w:rsid w:val="790E39C6"/>
    <w:rsid w:val="7AC45D59"/>
    <w:rsid w:val="7C640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14</TotalTime>
  <ScaleCrop>false</ScaleCrop>
  <LinksUpToDate>false</LinksUpToDate>
  <CharactersWithSpaces>760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2025-08-25T01:53:02Z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160D1BA1944349B08C48068401F6E698</vt:lpwstr>
  </property>
</Properties>
</file>