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CBAD7">
      <w:pPr>
        <w:spacing w:after="0" w:line="560" w:lineRule="exact"/>
        <w:rPr>
          <w:rFonts w:ascii="宋体" w:eastAsia="宋体"/>
          <w:sz w:val="32"/>
          <w:szCs w:val="32"/>
        </w:rPr>
      </w:pPr>
    </w:p>
    <w:p w14:paraId="69A1D2D1">
      <w:pPr>
        <w:spacing w:after="0" w:line="560" w:lineRule="exact"/>
        <w:rPr>
          <w:rFonts w:ascii="宋体" w:eastAsia="宋体"/>
          <w:sz w:val="44"/>
          <w:szCs w:val="44"/>
        </w:rPr>
      </w:pPr>
    </w:p>
    <w:p w14:paraId="30A4508C">
      <w:pPr>
        <w:spacing w:after="0" w:line="560" w:lineRule="exact"/>
        <w:rPr>
          <w:rFonts w:ascii="宋体" w:eastAsia="宋体"/>
          <w:sz w:val="44"/>
          <w:szCs w:val="44"/>
        </w:rPr>
      </w:pPr>
    </w:p>
    <w:p w14:paraId="191B6854">
      <w:pPr>
        <w:spacing w:after="0" w:line="560" w:lineRule="exact"/>
        <w:rPr>
          <w:rFonts w:ascii="宋体" w:eastAsia="宋体"/>
          <w:sz w:val="44"/>
          <w:szCs w:val="44"/>
        </w:rPr>
      </w:pPr>
    </w:p>
    <w:p w14:paraId="348117BA">
      <w:pPr>
        <w:spacing w:after="0" w:line="560" w:lineRule="exact"/>
        <w:jc w:val="center"/>
        <w:outlineLvl w:val="0"/>
        <w:rPr>
          <w:rFonts w:ascii="宋体" w:eastAsia="黑体"/>
          <w:sz w:val="44"/>
          <w:szCs w:val="44"/>
          <w:lang w:eastAsia="zh-CN"/>
        </w:rPr>
      </w:pPr>
      <w:r>
        <w:rPr>
          <w:rFonts w:ascii="宋体" w:eastAsia="黑体"/>
          <w:sz w:val="44"/>
          <w:szCs w:val="44"/>
          <w:lang w:eastAsia="zh-CN"/>
        </w:rPr>
        <w:t>新疆林科院造林治沙研究所</w:t>
      </w:r>
    </w:p>
    <w:p w14:paraId="2B38C201">
      <w:pPr>
        <w:spacing w:after="0" w:line="560" w:lineRule="exact"/>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6CA7184">
      <w:pPr>
        <w:spacing w:after="0" w:line="560" w:lineRule="exact"/>
        <w:rPr>
          <w:lang w:eastAsia="zh-CN"/>
        </w:rPr>
      </w:pPr>
      <w:r>
        <w:rPr>
          <w:sz w:val="0"/>
          <w:szCs w:val="0"/>
          <w:lang w:eastAsia="zh-CN"/>
        </w:rPr>
        <w:br w:type="page"/>
      </w:r>
    </w:p>
    <w:p w14:paraId="1BD330CD">
      <w:pPr>
        <w:spacing w:after="0" w:line="560" w:lineRule="exact"/>
        <w:jc w:val="center"/>
        <w:rPr>
          <w:rFonts w:ascii="黑体" w:eastAsia="黑体"/>
          <w:sz w:val="32"/>
          <w:szCs w:val="32"/>
          <w:lang w:eastAsia="zh-CN"/>
        </w:rPr>
      </w:pPr>
      <w:r>
        <w:rPr>
          <w:rFonts w:ascii="黑体" w:eastAsia="黑体"/>
          <w:b/>
          <w:sz w:val="32"/>
          <w:szCs w:val="32"/>
          <w:lang w:eastAsia="zh-CN"/>
        </w:rPr>
        <w:t>目</w:t>
      </w:r>
      <w:r>
        <w:rPr>
          <w:rFonts w:hint="eastAsia" w:ascii="黑体" w:eastAsia="黑体"/>
          <w:b/>
          <w:sz w:val="32"/>
          <w:szCs w:val="32"/>
          <w:lang w:val="en-US" w:eastAsia="zh-CN"/>
        </w:rPr>
        <w:t xml:space="preserve"> </w:t>
      </w:r>
      <w:r>
        <w:rPr>
          <w:rFonts w:ascii="黑体" w:eastAsia="黑体"/>
          <w:b/>
          <w:sz w:val="32"/>
          <w:szCs w:val="32"/>
          <w:lang w:eastAsia="zh-CN"/>
        </w:rPr>
        <w:t>录</w:t>
      </w:r>
    </w:p>
    <w:p w14:paraId="3412EDEA">
      <w:pPr>
        <w:spacing w:after="0" w:line="560" w:lineRule="exact"/>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单位概况</w:t>
      </w:r>
    </w:p>
    <w:p w14:paraId="2DCD2910">
      <w:pPr>
        <w:spacing w:after="0" w:line="560" w:lineRule="exact"/>
        <w:rPr>
          <w:rFonts w:ascii="仿宋_GB2312" w:eastAsia="仿宋_GB2312"/>
          <w:sz w:val="32"/>
          <w:szCs w:val="32"/>
          <w:lang w:eastAsia="zh-CN"/>
        </w:rPr>
      </w:pPr>
      <w:r>
        <w:rPr>
          <w:rFonts w:ascii="仿宋_GB2312" w:eastAsia="仿宋_GB2312"/>
          <w:sz w:val="32"/>
          <w:szCs w:val="32"/>
          <w:lang w:eastAsia="zh-CN"/>
        </w:rPr>
        <w:t>一、主要职能</w:t>
      </w:r>
    </w:p>
    <w:p w14:paraId="0E6A1651">
      <w:pPr>
        <w:spacing w:after="0" w:line="560" w:lineRule="exact"/>
        <w:rPr>
          <w:rFonts w:ascii="仿宋_GB2312" w:eastAsia="仿宋_GB2312"/>
          <w:sz w:val="32"/>
          <w:szCs w:val="32"/>
          <w:lang w:eastAsia="zh-CN"/>
        </w:rPr>
      </w:pPr>
      <w:r>
        <w:rPr>
          <w:rFonts w:ascii="仿宋_GB2312" w:eastAsia="仿宋_GB2312"/>
          <w:sz w:val="32"/>
          <w:szCs w:val="32"/>
          <w:lang w:eastAsia="zh-CN"/>
        </w:rPr>
        <w:t>二、机构设置及人员情况</w:t>
      </w:r>
    </w:p>
    <w:p w14:paraId="1ED97157">
      <w:pPr>
        <w:spacing w:after="0" w:line="560" w:lineRule="exact"/>
        <w:rPr>
          <w:rFonts w:ascii="仿宋_GB2312" w:eastAsia="仿宋_GB2312"/>
          <w:sz w:val="32"/>
          <w:szCs w:val="32"/>
          <w:lang w:eastAsia="zh-CN"/>
        </w:rPr>
      </w:pPr>
      <w:r>
        <w:rPr>
          <w:rFonts w:ascii="仿宋_GB2312" w:eastAsia="仿宋_GB2312"/>
          <w:b/>
          <w:sz w:val="32"/>
          <w:szCs w:val="32"/>
          <w:lang w:eastAsia="zh-CN"/>
        </w:rPr>
        <w:t>第二部分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部门决算情况说明</w:t>
      </w:r>
    </w:p>
    <w:p w14:paraId="2AE0652C">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1388F8B">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二、收入决算情况说明</w:t>
      </w:r>
    </w:p>
    <w:p w14:paraId="141CB657">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三、支出决算情况说明</w:t>
      </w:r>
    </w:p>
    <w:p w14:paraId="63562D5B">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A3688F7">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F1FD53E">
      <w:pPr>
        <w:spacing w:after="0" w:line="560" w:lineRule="exact"/>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A793A1D">
      <w:pPr>
        <w:spacing w:after="0" w:line="560" w:lineRule="exact"/>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17C5931">
      <w:pPr>
        <w:spacing w:after="0" w:line="560" w:lineRule="exact"/>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DEB3461">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4C9B21E">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D33A151">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AF1D518">
      <w:pPr>
        <w:spacing w:after="0" w:line="56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九、财政拨款“三公”经费支出决算情况说明</w:t>
      </w:r>
    </w:p>
    <w:p w14:paraId="0422668A">
      <w:pPr>
        <w:spacing w:after="0" w:line="560" w:lineRule="exact"/>
        <w:rPr>
          <w:rFonts w:ascii="仿宋_GB2312" w:eastAsia="仿宋_GB2312"/>
          <w:sz w:val="32"/>
          <w:szCs w:val="32"/>
          <w:lang w:eastAsia="zh-CN"/>
        </w:rPr>
      </w:pPr>
      <w:r>
        <w:rPr>
          <w:rFonts w:ascii="仿宋_GB2312" w:eastAsia="仿宋_GB2312"/>
          <w:sz w:val="32"/>
          <w:szCs w:val="32"/>
          <w:lang w:eastAsia="zh-CN"/>
        </w:rPr>
        <w:t>十、其他重要事项的情况说明</w:t>
      </w:r>
    </w:p>
    <w:p w14:paraId="53A7C2A5">
      <w:pPr>
        <w:spacing w:after="0" w:line="560" w:lineRule="exact"/>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B864DE3">
      <w:pPr>
        <w:spacing w:after="0" w:line="560" w:lineRule="exact"/>
        <w:rPr>
          <w:rFonts w:ascii="仿宋_GB2312" w:eastAsia="仿宋_GB2312"/>
          <w:sz w:val="32"/>
          <w:szCs w:val="32"/>
          <w:lang w:eastAsia="zh-CN"/>
        </w:rPr>
      </w:pPr>
      <w:r>
        <w:rPr>
          <w:rFonts w:ascii="仿宋_GB2312" w:eastAsia="仿宋_GB2312"/>
          <w:sz w:val="32"/>
          <w:szCs w:val="32"/>
          <w:lang w:eastAsia="zh-CN"/>
        </w:rPr>
        <w:t>（二）政府采购情况</w:t>
      </w:r>
    </w:p>
    <w:p w14:paraId="277CC88B">
      <w:pPr>
        <w:spacing w:after="0" w:line="560" w:lineRule="exact"/>
        <w:rPr>
          <w:rFonts w:ascii="仿宋_GB2312" w:eastAsia="仿宋_GB2312"/>
          <w:sz w:val="32"/>
          <w:szCs w:val="32"/>
          <w:lang w:eastAsia="zh-CN"/>
        </w:rPr>
      </w:pPr>
      <w:r>
        <w:rPr>
          <w:rFonts w:ascii="仿宋_GB2312" w:eastAsia="仿宋_GB2312"/>
          <w:sz w:val="32"/>
          <w:szCs w:val="32"/>
          <w:lang w:eastAsia="zh-CN"/>
        </w:rPr>
        <w:t>（三）国有资产占用情况说明</w:t>
      </w:r>
    </w:p>
    <w:p w14:paraId="4F02FD44">
      <w:pPr>
        <w:spacing w:after="0" w:line="560" w:lineRule="exact"/>
        <w:rPr>
          <w:rFonts w:ascii="仿宋_GB2312" w:eastAsia="仿宋_GB2312"/>
          <w:sz w:val="32"/>
          <w:szCs w:val="32"/>
          <w:lang w:eastAsia="zh-CN"/>
        </w:rPr>
      </w:pPr>
      <w:r>
        <w:rPr>
          <w:rFonts w:ascii="仿宋_GB2312" w:eastAsia="仿宋_GB2312"/>
          <w:sz w:val="32"/>
          <w:szCs w:val="32"/>
          <w:lang w:eastAsia="zh-CN"/>
        </w:rPr>
        <w:t>十一、预算绩效的情况说明</w:t>
      </w:r>
    </w:p>
    <w:p w14:paraId="77D89672">
      <w:pPr>
        <w:spacing w:after="0" w:line="560" w:lineRule="exact"/>
        <w:rPr>
          <w:rFonts w:ascii="仿宋_GB2312" w:eastAsia="仿宋_GB2312"/>
          <w:sz w:val="32"/>
          <w:szCs w:val="32"/>
          <w:lang w:eastAsia="zh-CN"/>
        </w:rPr>
      </w:pPr>
      <w:r>
        <w:rPr>
          <w:rFonts w:ascii="仿宋_GB2312" w:eastAsia="仿宋_GB2312"/>
          <w:sz w:val="32"/>
          <w:szCs w:val="32"/>
          <w:lang w:eastAsia="zh-CN"/>
        </w:rPr>
        <w:t>十二、其他需说明的事项</w:t>
      </w:r>
    </w:p>
    <w:p w14:paraId="3FF166B5">
      <w:pPr>
        <w:spacing w:after="0" w:line="560" w:lineRule="exact"/>
        <w:rPr>
          <w:rFonts w:ascii="仿宋_GB2312" w:eastAsia="仿宋_GB2312"/>
          <w:sz w:val="32"/>
          <w:szCs w:val="32"/>
          <w:lang w:eastAsia="zh-CN"/>
        </w:rPr>
      </w:pPr>
      <w:r>
        <w:rPr>
          <w:rFonts w:ascii="仿宋_GB2312" w:eastAsia="仿宋_GB2312"/>
          <w:b/>
          <w:sz w:val="32"/>
          <w:szCs w:val="32"/>
          <w:lang w:eastAsia="zh-CN"/>
        </w:rPr>
        <w:t>第三部分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专业名词解释</w:t>
      </w:r>
    </w:p>
    <w:p w14:paraId="6F0E8DA1">
      <w:pPr>
        <w:spacing w:after="0" w:line="560" w:lineRule="exact"/>
        <w:rPr>
          <w:rFonts w:ascii="仿宋_GB2312" w:eastAsia="仿宋_GB2312"/>
          <w:sz w:val="32"/>
          <w:szCs w:val="32"/>
          <w:lang w:eastAsia="zh-CN"/>
        </w:rPr>
      </w:pPr>
      <w:r>
        <w:rPr>
          <w:rFonts w:ascii="仿宋_GB2312" w:eastAsia="仿宋_GB2312"/>
          <w:b/>
          <w:sz w:val="32"/>
          <w:szCs w:val="32"/>
          <w:lang w:eastAsia="zh-CN"/>
        </w:rPr>
        <w:t>第四部分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部门决算报表（见附表）</w:t>
      </w:r>
    </w:p>
    <w:p w14:paraId="22FCBEA5">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一、《收入支出决算总表》</w:t>
      </w:r>
    </w:p>
    <w:p w14:paraId="3B160CC1">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二、《收入决算表》</w:t>
      </w:r>
    </w:p>
    <w:p w14:paraId="51627194">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三、《支出决算表》</w:t>
      </w:r>
    </w:p>
    <w:p w14:paraId="30F38CD1">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0B41FD0">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D9E8C1F">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8D2EFB0">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2D8FD6F">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5086F31">
      <w:pPr>
        <w:spacing w:after="0" w:line="56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九、《财政拨款“三公”经费支出决算表》</w:t>
      </w:r>
    </w:p>
    <w:p w14:paraId="5E7860DA">
      <w:pPr>
        <w:spacing w:after="0" w:line="560" w:lineRule="exact"/>
        <w:rPr>
          <w:lang w:eastAsia="zh-CN"/>
        </w:rPr>
      </w:pPr>
      <w:r>
        <w:rPr>
          <w:sz w:val="0"/>
          <w:szCs w:val="0"/>
          <w:lang w:eastAsia="zh-CN"/>
        </w:rPr>
        <w:br w:type="page"/>
      </w:r>
    </w:p>
    <w:p w14:paraId="7717FDD3">
      <w:pPr>
        <w:spacing w:after="0" w:line="560" w:lineRule="exact"/>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val="en-US" w:eastAsia="zh-CN"/>
        </w:rPr>
        <w:t xml:space="preserve"> </w:t>
      </w:r>
      <w:r>
        <w:rPr>
          <w:rFonts w:ascii="黑体" w:eastAsia="黑体"/>
          <w:sz w:val="32"/>
          <w:szCs w:val="32"/>
          <w:lang w:eastAsia="zh-CN"/>
        </w:rPr>
        <w:t>单位概况</w:t>
      </w:r>
    </w:p>
    <w:p w14:paraId="30FD7029">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1A6916E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承担新疆生态树种的良种选育、引种驯化及其栽培管理技术研究；开展新疆防沙治沙、荒漠化治理、用材林、农田防护林、节水林业等各类林业工程的造林技术研究与集成；进行荒漠物种资源开发利用的沙区产业技术研究；为生态林业工程建设提供科技咨询和科技服务。</w:t>
      </w:r>
    </w:p>
    <w:p w14:paraId="77251AAC">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0BD44F4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新疆林科院造林治沙研究所2024年度，实有人数30人，其中：在职人员21人，减少1人；离休人员0人，较上年无变化；退休人员9人，增加2人。</w:t>
      </w:r>
    </w:p>
    <w:p w14:paraId="5AB3E5B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新疆林科院造林治沙研究所无下属预算单位，下设5个</w:t>
      </w:r>
      <w:r>
        <w:rPr>
          <w:rFonts w:hint="eastAsia" w:ascii="仿宋_GB2312" w:eastAsia="仿宋_GB2312"/>
          <w:sz w:val="32"/>
          <w:szCs w:val="32"/>
          <w:lang w:eastAsia="zh-CN"/>
        </w:rPr>
        <w:t>科室</w:t>
      </w:r>
      <w:r>
        <w:rPr>
          <w:rFonts w:ascii="仿宋_GB2312" w:eastAsia="仿宋_GB2312"/>
          <w:sz w:val="32"/>
          <w:szCs w:val="32"/>
          <w:lang w:eastAsia="zh-CN"/>
        </w:rPr>
        <w:t>，分别是：造林技术研究室、沙产业研究室、治沙技术研究室、荒漠林研究室、生态工程研究室。</w:t>
      </w:r>
    </w:p>
    <w:p w14:paraId="26D17E1B">
      <w:pPr>
        <w:spacing w:after="0" w:line="560" w:lineRule="exact"/>
        <w:rPr>
          <w:lang w:eastAsia="zh-CN"/>
        </w:rPr>
      </w:pPr>
      <w:r>
        <w:rPr>
          <w:sz w:val="0"/>
          <w:szCs w:val="0"/>
          <w:lang w:eastAsia="zh-CN"/>
        </w:rPr>
        <w:br w:type="page"/>
      </w:r>
    </w:p>
    <w:p w14:paraId="31941610">
      <w:pPr>
        <w:spacing w:after="0" w:line="560" w:lineRule="exact"/>
        <w:jc w:val="center"/>
        <w:outlineLvl w:val="0"/>
        <w:rPr>
          <w:rFonts w:ascii="黑体" w:eastAsia="黑体"/>
          <w:sz w:val="32"/>
          <w:szCs w:val="32"/>
          <w:lang w:eastAsia="zh-CN"/>
        </w:rPr>
      </w:pPr>
      <w:r>
        <w:rPr>
          <w:rFonts w:ascii="黑体" w:eastAsia="黑体"/>
          <w:sz w:val="32"/>
          <w:szCs w:val="32"/>
          <w:lang w:eastAsia="zh-CN"/>
        </w:rPr>
        <w:t>第二部分</w:t>
      </w:r>
      <w:r>
        <w:rPr>
          <w:rFonts w:hint="eastAsia" w:ascii="黑体" w:eastAsia="黑体"/>
          <w:sz w:val="32"/>
          <w:szCs w:val="32"/>
          <w:lang w:val="en-US" w:eastAsia="zh-CN"/>
        </w:rPr>
        <w:t xml:space="preserve"> </w:t>
      </w:r>
      <w:r>
        <w:rPr>
          <w:rFonts w:ascii="黑体" w:eastAsia="黑体"/>
          <w:sz w:val="32"/>
          <w:szCs w:val="32"/>
          <w:lang w:eastAsia="zh-CN"/>
        </w:rPr>
        <w:t>部门决算情况说明</w:t>
      </w:r>
    </w:p>
    <w:p w14:paraId="13B8A347">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31B2607B">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2024年度收入总计2,872.62万元，</w:t>
      </w:r>
      <w:r>
        <w:rPr>
          <w:rFonts w:ascii="仿宋_GB2312" w:eastAsia="仿宋_GB2312"/>
          <w:sz w:val="32"/>
          <w:szCs w:val="32"/>
          <w:lang w:eastAsia="zh-CN"/>
        </w:rPr>
        <w:t>其中：本年收入合计2,497.14万元，使用非财政拨款结余（含专用结余）0.00万元，年初结转和结余375.49万元。</w:t>
      </w:r>
    </w:p>
    <w:p w14:paraId="3C178745">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2024年度支出总计2,872.62万元，</w:t>
      </w:r>
      <w:r>
        <w:rPr>
          <w:rFonts w:ascii="仿宋_GB2312" w:eastAsia="仿宋_GB2312"/>
          <w:sz w:val="32"/>
          <w:szCs w:val="32"/>
          <w:lang w:eastAsia="zh-CN"/>
        </w:rPr>
        <w:t>其中：本年支出合计2,152.06万元，结余分配1.16万元，年末结转和结余719.40万元。</w:t>
      </w:r>
    </w:p>
    <w:p w14:paraId="62D359B1">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收入支出总体与上年相比，</w:t>
      </w:r>
      <w:r>
        <w:rPr>
          <w:rFonts w:ascii="仿宋_GB2312" w:eastAsia="仿宋_GB2312"/>
          <w:sz w:val="32"/>
          <w:szCs w:val="32"/>
          <w:lang w:eastAsia="zh-CN"/>
        </w:rPr>
        <w:t>增加830.07万元，增长40.64%，主要原因是：</w:t>
      </w:r>
      <w:r>
        <w:rPr>
          <w:rFonts w:hint="eastAsia" w:ascii="仿宋_GB2312" w:eastAsia="仿宋_GB2312"/>
          <w:sz w:val="32"/>
          <w:szCs w:val="32"/>
          <w:lang w:eastAsia="zh-CN"/>
        </w:rPr>
        <w:t>一是</w:t>
      </w:r>
      <w:r>
        <w:rPr>
          <w:rFonts w:ascii="仿宋_GB2312" w:eastAsia="仿宋_GB2312"/>
          <w:sz w:val="32"/>
          <w:szCs w:val="32"/>
          <w:lang w:eastAsia="zh-CN"/>
        </w:rPr>
        <w:t>工资普调、社保基数上涨，</w:t>
      </w:r>
      <w:r>
        <w:rPr>
          <w:rFonts w:hint="eastAsia" w:ascii="仿宋_GB2312" w:eastAsia="仿宋_GB2312"/>
          <w:sz w:val="32"/>
          <w:szCs w:val="32"/>
          <w:lang w:val="en-US" w:eastAsia="zh-CN"/>
        </w:rPr>
        <w:t>人员</w:t>
      </w:r>
      <w:r>
        <w:rPr>
          <w:rFonts w:ascii="仿宋_GB2312" w:eastAsia="仿宋_GB2312"/>
          <w:sz w:val="32"/>
          <w:szCs w:val="32"/>
          <w:lang w:eastAsia="zh-CN"/>
        </w:rPr>
        <w:t>经费增加；</w:t>
      </w:r>
      <w:r>
        <w:rPr>
          <w:rFonts w:hint="eastAsia" w:ascii="仿宋_GB2312" w:eastAsia="仿宋_GB2312"/>
          <w:sz w:val="32"/>
          <w:szCs w:val="32"/>
          <w:lang w:eastAsia="zh-CN"/>
        </w:rPr>
        <w:t>二是本年度</w:t>
      </w:r>
      <w:r>
        <w:rPr>
          <w:rFonts w:ascii="仿宋_GB2312" w:eastAsia="仿宋_GB2312"/>
          <w:sz w:val="32"/>
          <w:szCs w:val="32"/>
          <w:lang w:eastAsia="zh-CN"/>
        </w:rPr>
        <w:t>追加财政拨款项目和横向课题项目</w:t>
      </w:r>
      <w:r>
        <w:rPr>
          <w:rFonts w:hint="eastAsia" w:ascii="仿宋_GB2312" w:eastAsia="仿宋_GB2312"/>
          <w:sz w:val="32"/>
          <w:szCs w:val="32"/>
          <w:lang w:eastAsia="zh-CN"/>
        </w:rPr>
        <w:t>，因此项目经费</w:t>
      </w:r>
      <w:r>
        <w:rPr>
          <w:rFonts w:hint="eastAsia" w:ascii="仿宋_GB2312" w:eastAsia="仿宋_GB2312"/>
          <w:sz w:val="32"/>
          <w:szCs w:val="32"/>
          <w:lang w:val="en-US" w:eastAsia="zh-CN"/>
        </w:rPr>
        <w:t>增加</w:t>
      </w:r>
      <w:r>
        <w:rPr>
          <w:rFonts w:ascii="仿宋_GB2312" w:eastAsia="仿宋_GB2312"/>
          <w:sz w:val="32"/>
          <w:szCs w:val="32"/>
          <w:lang w:eastAsia="zh-CN"/>
        </w:rPr>
        <w:t>。</w:t>
      </w:r>
    </w:p>
    <w:p w14:paraId="15A081D4">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141465D0">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本年收入2,497.14万元，</w:t>
      </w:r>
      <w:r>
        <w:rPr>
          <w:rFonts w:ascii="仿宋_GB2312" w:eastAsia="仿宋_GB2312"/>
          <w:sz w:val="32"/>
          <w:szCs w:val="32"/>
          <w:lang w:eastAsia="zh-CN"/>
        </w:rPr>
        <w:t>其中：财政拨款收入834.32万元,占33.41%；上级补助收入0.00万元,占0.00%；事业收入1,661.66万元，占66.54%；经营收入0.00万元,占0.00%；附属单位上缴收入0.00万元，占0.00%；其他收入1.16万元，占0.05%。</w:t>
      </w:r>
    </w:p>
    <w:p w14:paraId="16E48509">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47CE48FE">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本年支出2,152.06万元，</w:t>
      </w:r>
      <w:r>
        <w:rPr>
          <w:rFonts w:ascii="仿宋_GB2312" w:eastAsia="仿宋_GB2312"/>
          <w:sz w:val="32"/>
          <w:szCs w:val="32"/>
          <w:lang w:eastAsia="zh-CN"/>
        </w:rPr>
        <w:t>其中：基本支出585.55万元，占27.21%；项目支出1,566.52万元，占72.79%；上缴上级支出0.00万元，占0.00%；经营支出0.00万元，占0.00%；对附属单位补助支出0.00万元，占0.00%。</w:t>
      </w:r>
    </w:p>
    <w:p w14:paraId="137EB5E9">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195CF28">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2024年度财政拨款收入总计836.00万元，</w:t>
      </w:r>
      <w:r>
        <w:rPr>
          <w:rFonts w:ascii="仿宋_GB2312" w:eastAsia="仿宋_GB2312"/>
          <w:sz w:val="32"/>
          <w:szCs w:val="32"/>
          <w:lang w:eastAsia="zh-CN"/>
        </w:rPr>
        <w:t>其中：年初财政拨款结转和结余1.68万元，本年财政拨款收入834.32万元。</w:t>
      </w:r>
      <w:r>
        <w:rPr>
          <w:rFonts w:ascii="仿宋_GB2312" w:eastAsia="仿宋_GB2312"/>
          <w:b/>
          <w:bCs/>
          <w:sz w:val="32"/>
          <w:szCs w:val="32"/>
          <w:lang w:eastAsia="zh-CN"/>
        </w:rPr>
        <w:t>财政拨款支出总计836.00万元，</w:t>
      </w:r>
      <w:r>
        <w:rPr>
          <w:rFonts w:ascii="仿宋_GB2312" w:eastAsia="仿宋_GB2312"/>
          <w:sz w:val="32"/>
          <w:szCs w:val="32"/>
          <w:lang w:eastAsia="zh-CN"/>
        </w:rPr>
        <w:t>其中：年末财政拨款结转和结余0.00万元，本年财政拨款支出836.00万元。</w:t>
      </w:r>
    </w:p>
    <w:p w14:paraId="457DD02D">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财政拨款收入支出总体与上年相比，</w:t>
      </w:r>
      <w:r>
        <w:rPr>
          <w:rFonts w:ascii="仿宋_GB2312" w:eastAsia="仿宋_GB2312"/>
          <w:sz w:val="32"/>
          <w:szCs w:val="32"/>
          <w:lang w:eastAsia="zh-CN"/>
        </w:rPr>
        <w:t>减少122.45万元，下降12.78%，主要原因是：</w:t>
      </w:r>
      <w:r>
        <w:rPr>
          <w:rFonts w:hint="eastAsia" w:ascii="仿宋_GB2312" w:eastAsia="仿宋_GB2312"/>
          <w:sz w:val="32"/>
          <w:szCs w:val="32"/>
          <w:lang w:eastAsia="zh-CN"/>
        </w:rPr>
        <w:t>一是</w:t>
      </w:r>
      <w:r>
        <w:rPr>
          <w:rFonts w:ascii="仿宋_GB2312" w:eastAsia="仿宋_GB2312"/>
          <w:sz w:val="32"/>
          <w:szCs w:val="32"/>
          <w:lang w:eastAsia="zh-CN"/>
        </w:rPr>
        <w:t>在职人员</w:t>
      </w:r>
      <w:r>
        <w:rPr>
          <w:rFonts w:hint="eastAsia" w:ascii="仿宋_GB2312" w:eastAsia="仿宋_GB2312"/>
          <w:sz w:val="32"/>
          <w:szCs w:val="32"/>
          <w:lang w:eastAsia="zh-CN"/>
        </w:rPr>
        <w:t>减少</w:t>
      </w:r>
      <w:r>
        <w:rPr>
          <w:rFonts w:hint="default" w:ascii="仿宋_GB2312" w:eastAsia="仿宋_GB2312"/>
          <w:sz w:val="32"/>
          <w:szCs w:val="32"/>
          <w:lang w:val="en-US" w:eastAsia="zh-CN"/>
        </w:rPr>
        <w:t>1</w:t>
      </w:r>
      <w:r>
        <w:rPr>
          <w:rFonts w:hint="eastAsia" w:ascii="仿宋_GB2312" w:eastAsia="仿宋_GB2312"/>
          <w:sz w:val="32"/>
          <w:szCs w:val="32"/>
          <w:lang w:val="en-US" w:eastAsia="zh-CN"/>
        </w:rPr>
        <w:t>人导致人员经费减少</w:t>
      </w:r>
      <w:r>
        <w:rPr>
          <w:rFonts w:hint="eastAsia" w:ascii="仿宋_GB2312" w:eastAsia="仿宋_GB2312"/>
          <w:sz w:val="32"/>
          <w:szCs w:val="32"/>
          <w:lang w:eastAsia="zh-CN"/>
        </w:rPr>
        <w:t>，二是本年度新疆规模化种植肉苁蓉立体多功能液体接种及示范推广、文冠果丰产造林和低产林高接换优技术推广示范等财政拨款项目减少</w:t>
      </w:r>
      <w:r>
        <w:rPr>
          <w:rFonts w:ascii="仿宋_GB2312" w:eastAsia="仿宋_GB2312"/>
          <w:sz w:val="32"/>
          <w:szCs w:val="32"/>
          <w:lang w:eastAsia="zh-CN"/>
        </w:rPr>
        <w:t>。</w:t>
      </w:r>
      <w:r>
        <w:rPr>
          <w:rFonts w:ascii="仿宋_GB2312" w:eastAsia="仿宋_GB2312"/>
          <w:b/>
          <w:bCs/>
          <w:sz w:val="32"/>
          <w:szCs w:val="32"/>
          <w:lang w:eastAsia="zh-CN"/>
        </w:rPr>
        <w:t>与年初预算相比，</w:t>
      </w:r>
      <w:r>
        <w:rPr>
          <w:rFonts w:ascii="仿宋_GB2312" w:eastAsia="仿宋_GB2312"/>
          <w:sz w:val="32"/>
          <w:szCs w:val="32"/>
          <w:lang w:eastAsia="zh-CN"/>
        </w:rPr>
        <w:t>年初预算数779.41万元，决算数836.00万元，预决算差异率7.26%，主要原因是：预算执行中新增年度考核奖、调增基本工资、职业年金等支出。</w:t>
      </w:r>
    </w:p>
    <w:p w14:paraId="4FAB0E43">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6344401">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（一）一般公共预算财政拨款支出决算总体情况</w:t>
      </w:r>
    </w:p>
    <w:p w14:paraId="520EE127">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2024年度一般公共预算财政拨款支出836.00万元，</w:t>
      </w:r>
      <w:r>
        <w:rPr>
          <w:rFonts w:ascii="仿宋_GB2312" w:eastAsia="仿宋_GB2312"/>
          <w:sz w:val="32"/>
          <w:szCs w:val="32"/>
          <w:lang w:eastAsia="zh-CN"/>
        </w:rPr>
        <w:t>占本年支出合计的38.85%。与上年相比，减少120.78万元，下降12.62%，主要原因是：</w:t>
      </w:r>
      <w:r>
        <w:rPr>
          <w:rFonts w:hint="eastAsia" w:ascii="仿宋_GB2312" w:eastAsia="仿宋_GB2312"/>
          <w:sz w:val="32"/>
          <w:szCs w:val="32"/>
          <w:lang w:eastAsia="zh-CN"/>
        </w:rPr>
        <w:t>本年度未</w:t>
      </w:r>
      <w:r>
        <w:rPr>
          <w:rFonts w:hint="eastAsia" w:ascii="仿宋_GB2312" w:eastAsia="仿宋_GB2312"/>
          <w:sz w:val="32"/>
          <w:szCs w:val="32"/>
          <w:lang w:val="en-US" w:eastAsia="zh-CN"/>
        </w:rPr>
        <w:t>承担</w:t>
      </w:r>
      <w:r>
        <w:rPr>
          <w:rFonts w:hint="eastAsia" w:ascii="仿宋_GB2312" w:eastAsia="仿宋_GB2312"/>
          <w:sz w:val="32"/>
          <w:szCs w:val="32"/>
          <w:lang w:eastAsia="zh-CN"/>
        </w:rPr>
        <w:t>“天山英才”计划—三农骨干人才</w:t>
      </w:r>
      <w:r>
        <w:rPr>
          <w:rFonts w:ascii="仿宋_GB2312" w:eastAsia="仿宋_GB2312"/>
          <w:sz w:val="32"/>
          <w:szCs w:val="32"/>
          <w:lang w:eastAsia="zh-CN"/>
        </w:rPr>
        <w:t>，</w:t>
      </w:r>
      <w:r>
        <w:rPr>
          <w:rFonts w:hint="eastAsia" w:ascii="仿宋_GB2312" w:eastAsia="仿宋_GB2312"/>
          <w:sz w:val="32"/>
          <w:szCs w:val="32"/>
          <w:lang w:eastAsia="zh-CN"/>
        </w:rPr>
        <w:t>因此</w:t>
      </w:r>
      <w:r>
        <w:rPr>
          <w:rFonts w:ascii="仿宋_GB2312" w:eastAsia="仿宋_GB2312"/>
          <w:sz w:val="32"/>
          <w:szCs w:val="32"/>
          <w:lang w:eastAsia="zh-CN"/>
        </w:rPr>
        <w:t>本年财政拨款项目经费减少。</w:t>
      </w:r>
      <w:r>
        <w:rPr>
          <w:rFonts w:ascii="仿宋_GB2312" w:eastAsia="仿宋_GB2312"/>
          <w:b/>
          <w:bCs/>
          <w:sz w:val="32"/>
          <w:szCs w:val="32"/>
          <w:lang w:eastAsia="zh-CN"/>
        </w:rPr>
        <w:t>与年初预算相比，</w:t>
      </w:r>
      <w:r>
        <w:rPr>
          <w:rFonts w:ascii="仿宋_GB2312" w:eastAsia="仿宋_GB2312"/>
          <w:sz w:val="32"/>
          <w:szCs w:val="32"/>
          <w:lang w:eastAsia="zh-CN"/>
        </w:rPr>
        <w:t>年初预算数779.41万元，决算数836.00万元，预决算差异率7.26%，主要原因是：预算执行中新增年度考核奖、调增基本工资、职业年金等支出。</w:t>
      </w:r>
    </w:p>
    <w:p w14:paraId="40849A62">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（二）一般公共预算财政拨款支出决算结构情况</w:t>
      </w:r>
    </w:p>
    <w:p w14:paraId="742E4D57">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科学技术支出（类）592.00万元，占70.81%。</w:t>
      </w:r>
    </w:p>
    <w:p w14:paraId="3B543A4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农林水支出（类）244.00万元，占29.19%。</w:t>
      </w:r>
    </w:p>
    <w:p w14:paraId="21A715F0">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（三）一般公共预算财政拨款支出决算具体情况</w:t>
      </w:r>
    </w:p>
    <w:p w14:paraId="4887F4ED">
      <w:pPr>
        <w:numPr>
          <w:ilvl w:val="0"/>
          <w:numId w:val="1"/>
        </w:numPr>
        <w:spacing w:after="0" w:line="560" w:lineRule="exact"/>
        <w:ind w:firstLineChars="0"/>
        <w:jc w:val="both"/>
        <w:rPr>
          <w:rFonts w:ascii="仿宋_GB2312" w:eastAsia="仿宋_GB2312"/>
          <w:sz w:val="32"/>
          <w:szCs w:val="32"/>
          <w:lang w:eastAsia="zh-CN"/>
        </w:rPr>
      </w:pPr>
      <w:r>
        <w:rPr>
          <w:rFonts w:ascii="仿宋_GB2312" w:eastAsia="仿宋_GB2312"/>
          <w:sz w:val="32"/>
          <w:szCs w:val="32"/>
          <w:lang w:eastAsia="zh-CN"/>
        </w:rPr>
        <w:t>科学技术支出（类）基础研究（款）科技人才队伍建设（项）：支出决算数为1.68万元，比上年决算减少86.64万元，下降98.10%，主要原因是：202</w:t>
      </w:r>
      <w:r>
        <w:rPr>
          <w:rFonts w:hint="eastAsia" w:ascii="仿宋_GB2312" w:eastAsia="仿宋_GB2312"/>
          <w:sz w:val="32"/>
          <w:szCs w:val="32"/>
          <w:lang w:eastAsia="zh-CN"/>
        </w:rPr>
        <w:t>4年度支出决算数中包含2023年度结转的“天山英才”计划—三农骨干人才《新疆肉苁蓉种植关键技术示范与推广》，2024年度未</w:t>
      </w:r>
      <w:r>
        <w:rPr>
          <w:rFonts w:hint="eastAsia" w:ascii="仿宋_GB2312" w:eastAsia="仿宋_GB2312"/>
          <w:sz w:val="32"/>
          <w:szCs w:val="32"/>
          <w:lang w:val="en-US" w:eastAsia="zh-CN"/>
        </w:rPr>
        <w:t>承担</w:t>
      </w:r>
      <w:r>
        <w:rPr>
          <w:rFonts w:hint="eastAsia" w:ascii="仿宋_GB2312" w:eastAsia="仿宋_GB2312"/>
          <w:sz w:val="32"/>
          <w:szCs w:val="32"/>
          <w:lang w:eastAsia="zh-CN"/>
        </w:rPr>
        <w:t>新项目。</w:t>
      </w:r>
    </w:p>
    <w:p w14:paraId="794EAE7A">
      <w:pPr>
        <w:numPr>
          <w:ilvl w:val="0"/>
          <w:numId w:val="1"/>
        </w:numPr>
        <w:spacing w:after="0" w:line="560" w:lineRule="exact"/>
        <w:jc w:val="both"/>
        <w:rPr>
          <w:rFonts w:ascii="仿宋_GB2312" w:eastAsia="仿宋_GB2312"/>
          <w:sz w:val="32"/>
          <w:szCs w:val="32"/>
          <w:lang w:eastAsia="zh-CN"/>
        </w:rPr>
      </w:pPr>
      <w:r>
        <w:rPr>
          <w:rFonts w:ascii="仿宋_GB2312" w:eastAsia="仿宋_GB2312"/>
          <w:sz w:val="32"/>
          <w:szCs w:val="32"/>
          <w:lang w:eastAsia="zh-CN"/>
        </w:rPr>
        <w:t>科学技术支出（类）应用研究（款）机构运行（项）：支出决算数为585.55万元，比上年决算减少55.80万元，下降8.70%，主要原因是：与上年相比，本年度在职人员减少1人使得社保、医保、工会经费、福利费、公用经费等相应经费支出减少。</w:t>
      </w:r>
    </w:p>
    <w:p w14:paraId="68A425F9">
      <w:pPr>
        <w:numPr>
          <w:ilvl w:val="0"/>
          <w:numId w:val="1"/>
        </w:numPr>
        <w:spacing w:after="0" w:line="560" w:lineRule="exact"/>
        <w:ind w:firstLineChars="0"/>
        <w:jc w:val="both"/>
        <w:rPr>
          <w:rFonts w:ascii="仿宋_GB2312" w:eastAsia="仿宋_GB2312"/>
          <w:sz w:val="32"/>
          <w:szCs w:val="32"/>
          <w:lang w:eastAsia="zh-CN"/>
        </w:rPr>
      </w:pPr>
      <w:r>
        <w:rPr>
          <w:rFonts w:ascii="仿宋_GB2312" w:eastAsia="仿宋_GB2312"/>
          <w:sz w:val="32"/>
          <w:szCs w:val="32"/>
          <w:lang w:eastAsia="zh-CN"/>
        </w:rPr>
        <w:t>科学技术支出（类）科技条件与服务（款）其他科技条件与服务支出（项）：支出决算数为4.77万元，比上年决算增加2.58万元，增长117.81%，主要原因是：</w:t>
      </w:r>
      <w:r>
        <w:rPr>
          <w:rFonts w:hint="eastAsia" w:ascii="仿宋_GB2312" w:eastAsia="仿宋_GB2312"/>
          <w:sz w:val="32"/>
          <w:szCs w:val="32"/>
          <w:lang w:eastAsia="zh-CN"/>
        </w:rPr>
        <w:t>2024年新增项目</w:t>
      </w:r>
      <w:r>
        <w:rPr>
          <w:rFonts w:ascii="仿宋_GB2312" w:eastAsia="仿宋_GB2312"/>
          <w:sz w:val="32"/>
          <w:szCs w:val="32"/>
          <w:lang w:eastAsia="zh-CN"/>
        </w:rPr>
        <w:t>2024</w:t>
      </w:r>
      <w:r>
        <w:rPr>
          <w:rFonts w:hint="eastAsia" w:ascii="仿宋_GB2312" w:eastAsia="仿宋_GB2312"/>
          <w:sz w:val="32"/>
          <w:szCs w:val="32"/>
          <w:lang w:eastAsia="zh-CN"/>
        </w:rPr>
        <w:t>年中央“三区”科技人才支持计划</w:t>
      </w:r>
      <w:r>
        <w:rPr>
          <w:rFonts w:ascii="仿宋_GB2312" w:eastAsia="仿宋_GB2312"/>
          <w:sz w:val="32"/>
          <w:szCs w:val="32"/>
          <w:lang w:eastAsia="zh-CN"/>
        </w:rPr>
        <w:t>，相应项目支出较上年增加。</w:t>
      </w:r>
    </w:p>
    <w:p w14:paraId="4D7EBFAB">
      <w:pPr>
        <w:numPr>
          <w:ilvl w:val="0"/>
          <w:numId w:val="1"/>
        </w:numPr>
        <w:spacing w:after="0" w:line="560" w:lineRule="exact"/>
        <w:ind w:firstLineChars="0"/>
        <w:jc w:val="both"/>
        <w:rPr>
          <w:rFonts w:ascii="仿宋_GB2312" w:eastAsia="仿宋_GB2312"/>
          <w:sz w:val="32"/>
          <w:szCs w:val="32"/>
          <w:lang w:eastAsia="zh-CN"/>
        </w:rPr>
      </w:pPr>
      <w:r>
        <w:rPr>
          <w:rFonts w:ascii="仿宋_GB2312" w:eastAsia="仿宋_GB2312"/>
          <w:sz w:val="32"/>
          <w:szCs w:val="32"/>
          <w:lang w:eastAsia="zh-CN"/>
        </w:rPr>
        <w:t>农林水支出（类）林业和草原（款）技术推广与转化（项）：支出决算数为79.00万元，比上年决算减少15.92万元，下降16.77%，主要原因是：</w:t>
      </w:r>
      <w:r>
        <w:rPr>
          <w:rFonts w:hint="eastAsia" w:ascii="仿宋_GB2312" w:eastAsia="仿宋_GB2312"/>
          <w:sz w:val="32"/>
          <w:szCs w:val="32"/>
          <w:lang w:eastAsia="zh-CN"/>
        </w:rPr>
        <w:t xml:space="preserve"> 2024年度未</w:t>
      </w:r>
      <w:r>
        <w:rPr>
          <w:rFonts w:hint="eastAsia" w:ascii="仿宋_GB2312" w:eastAsia="仿宋_GB2312"/>
          <w:sz w:val="32"/>
          <w:szCs w:val="32"/>
          <w:lang w:val="en-US" w:eastAsia="zh-CN"/>
        </w:rPr>
        <w:t>承担</w:t>
      </w:r>
      <w:r>
        <w:rPr>
          <w:rFonts w:hint="eastAsia" w:ascii="仿宋_GB2312" w:eastAsia="仿宋_GB2312"/>
          <w:sz w:val="32"/>
          <w:szCs w:val="32"/>
          <w:lang w:eastAsia="zh-CN"/>
        </w:rPr>
        <w:t>新疆规模化种植肉苁蓉立体多功能液体接种及示范推广项目、文冠果丰产造林和低产林高接换优技术推广示范项目、新疆大果沙枣黑核桃和水曲柳等优良品种防护林建设示范和推广项目、生物降解聚乳酸沙袋沙障治沙技术推广示范项目，</w:t>
      </w:r>
      <w:r>
        <w:rPr>
          <w:rFonts w:ascii="仿宋_GB2312" w:eastAsia="仿宋_GB2312"/>
          <w:sz w:val="32"/>
          <w:szCs w:val="32"/>
          <w:lang w:eastAsia="zh-CN"/>
        </w:rPr>
        <w:t>相应项目支出较上年减少。</w:t>
      </w:r>
    </w:p>
    <w:p w14:paraId="409DFFCC">
      <w:pPr>
        <w:numPr>
          <w:ilvl w:val="0"/>
          <w:numId w:val="1"/>
        </w:numPr>
        <w:spacing w:after="0" w:line="560" w:lineRule="exact"/>
        <w:jc w:val="both"/>
        <w:rPr>
          <w:rFonts w:ascii="仿宋_GB2312" w:eastAsia="仿宋_GB2312"/>
          <w:sz w:val="32"/>
          <w:szCs w:val="32"/>
          <w:lang w:eastAsia="zh-CN"/>
        </w:rPr>
      </w:pPr>
      <w:r>
        <w:rPr>
          <w:rFonts w:ascii="仿宋_GB2312" w:eastAsia="仿宋_GB2312"/>
          <w:sz w:val="32"/>
          <w:szCs w:val="32"/>
          <w:lang w:eastAsia="zh-CN"/>
        </w:rPr>
        <w:t>农林水支出（类）林业和草原（款）其他林业和草原支出（项）：支出决算数为165.00万元，比上年决算增加35.00万元，增长26.92%，主要原因是：</w:t>
      </w:r>
      <w:r>
        <w:rPr>
          <w:rFonts w:hint="eastAsia" w:ascii="仿宋_GB2312" w:eastAsia="仿宋_GB2312"/>
          <w:sz w:val="32"/>
          <w:szCs w:val="32"/>
          <w:lang w:eastAsia="zh-CN"/>
        </w:rPr>
        <w:t xml:space="preserve"> 2024年度新增生态树种新品种选育及修复关键技术研究</w:t>
      </w:r>
      <w:r>
        <w:rPr>
          <w:rFonts w:ascii="仿宋_GB2312" w:eastAsia="仿宋_GB2312"/>
          <w:sz w:val="32"/>
          <w:szCs w:val="32"/>
          <w:lang w:eastAsia="zh-CN"/>
        </w:rPr>
        <w:t xml:space="preserve">- </w:t>
      </w:r>
      <w:r>
        <w:rPr>
          <w:rFonts w:hint="eastAsia" w:ascii="仿宋_GB2312" w:eastAsia="仿宋_GB2312"/>
          <w:sz w:val="32"/>
          <w:szCs w:val="32"/>
          <w:lang w:eastAsia="zh-CN"/>
        </w:rPr>
        <w:t>黑核桃良种选育技术研究</w:t>
      </w:r>
      <w:r>
        <w:rPr>
          <w:rFonts w:ascii="仿宋_GB2312" w:eastAsia="仿宋_GB2312"/>
          <w:sz w:val="32"/>
          <w:szCs w:val="32"/>
          <w:lang w:eastAsia="zh-CN"/>
        </w:rPr>
        <w:t>项目</w:t>
      </w:r>
      <w:r>
        <w:rPr>
          <w:rFonts w:hint="eastAsia" w:ascii="仿宋_GB2312" w:eastAsia="仿宋_GB2312"/>
          <w:sz w:val="32"/>
          <w:szCs w:val="32"/>
          <w:lang w:eastAsia="zh-CN"/>
        </w:rPr>
        <w:t>、生态树种新品种选育及修复关键技术研究</w:t>
      </w:r>
      <w:r>
        <w:rPr>
          <w:rFonts w:ascii="仿宋_GB2312" w:eastAsia="仿宋_GB2312"/>
          <w:sz w:val="32"/>
          <w:szCs w:val="32"/>
          <w:lang w:eastAsia="zh-CN"/>
        </w:rPr>
        <w:t>-</w:t>
      </w:r>
      <w:r>
        <w:rPr>
          <w:rFonts w:hint="eastAsia" w:ascii="仿宋_GB2312" w:eastAsia="仿宋_GB2312"/>
          <w:sz w:val="32"/>
          <w:szCs w:val="32"/>
          <w:lang w:eastAsia="zh-CN"/>
        </w:rPr>
        <w:t>塔里木盆地东北缘杨树防护林耗水规律研究项目，因此项目经费较上年增加。</w:t>
      </w:r>
    </w:p>
    <w:p w14:paraId="46DA6D25">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AC2E76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2024年度一般公共预算财政拨款基本支出585.55万元，其中：</w:t>
      </w:r>
      <w:r>
        <w:rPr>
          <w:rFonts w:ascii="仿宋_GB2312" w:eastAsia="仿宋_GB2312"/>
          <w:b/>
          <w:bCs/>
          <w:sz w:val="32"/>
          <w:szCs w:val="32"/>
          <w:lang w:eastAsia="zh-CN"/>
        </w:rPr>
        <w:t>人员经费522.63万元，</w:t>
      </w:r>
      <w:r>
        <w:rPr>
          <w:rFonts w:ascii="仿宋_GB2312" w:eastAsia="仿宋_GB2312"/>
          <w:sz w:val="32"/>
          <w:szCs w:val="32"/>
          <w:lang w:eastAsia="zh-CN"/>
        </w:rPr>
        <w:t>包括：基本工资、津贴补贴、奖金、绩效工资、机关事业单位基本养老保险缴费、职业年金缴费、职工基本医疗保险缴费、公务员医疗补助缴费、其他社会保障缴费、住房公积金和退休费。</w:t>
      </w:r>
    </w:p>
    <w:p w14:paraId="61D4E25E">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公用经费62.92万元，</w:t>
      </w:r>
      <w:r>
        <w:rPr>
          <w:rFonts w:ascii="仿宋_GB2312" w:eastAsia="仿宋_GB2312"/>
          <w:sz w:val="32"/>
          <w:szCs w:val="32"/>
          <w:lang w:eastAsia="zh-CN"/>
        </w:rPr>
        <w:t>包括：办公费、手续费、水费、电费、邮电费、差旅费、委托业务费、工会经费、福利费、其他交通费用、税金及附加费用和其他商品和服务支出。</w:t>
      </w:r>
    </w:p>
    <w:p w14:paraId="667C6A45">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C8CC8F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65BF5B4">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6724CF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F98C0C1">
      <w:pPr>
        <w:spacing w:after="0" w:line="560" w:lineRule="exact"/>
        <w:ind w:firstLine="640" w:firstLineChars="200"/>
        <w:outlineLvl w:val="1"/>
        <w:rPr>
          <w:rFonts w:ascii="黑体" w:hAnsi="黑体" w:eastAsia="黑体" w:cs="黑体"/>
          <w:sz w:val="32"/>
          <w:szCs w:val="32"/>
          <w:lang w:eastAsia="zh-CN"/>
        </w:rPr>
      </w:pPr>
      <w:r>
        <w:rPr>
          <w:rFonts w:hint="eastAsia" w:ascii="黑体" w:hAnsi="黑体" w:eastAsia="黑体" w:cs="黑体"/>
          <w:sz w:val="32"/>
          <w:szCs w:val="32"/>
          <w:lang w:eastAsia="zh-CN"/>
        </w:rPr>
        <w:t>九、财政拨款“三公”经费支出决算情况说明</w:t>
      </w:r>
    </w:p>
    <w:p w14:paraId="0380A069">
      <w:pPr>
        <w:spacing w:after="0" w:line="560" w:lineRule="exact"/>
        <w:ind w:firstLine="643"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2024年度财政拨款“三公”经费支出0.00万元，</w:t>
      </w:r>
      <w:r>
        <w:rPr>
          <w:rFonts w:hint="eastAsia" w:ascii="仿宋_GB2312" w:hAnsi="仿宋_GB2312" w:eastAsia="仿宋_GB2312" w:cs="仿宋_GB2312"/>
          <w:sz w:val="32"/>
          <w:szCs w:val="32"/>
          <w:lang w:eastAsia="zh-CN"/>
        </w:rPr>
        <w:t>与上年相比无变化，主要原因是：我单位2023年度与2024年度均未安排财政拨款“三公”经费支出。其中：因公出国（境）费支出0.00万元,占0.00%，与上年相比无变化，主要原因是：我单位2023年度与2024年度均未安排因公出国（境）费；公务用车购置及运行维护费支出0.00万元，占0.00%，与上年相比无变化，主要原因是：我单位2023年度与2024年度均未安排公务用车购置及运行维护费；公务接待费支出0.00万元，占0.00%，与上年相比无变化，主要原因是：我单位2023年度与2024年度均未安排公务接待费。</w:t>
      </w:r>
    </w:p>
    <w:p w14:paraId="1E8BCDD4">
      <w:pPr>
        <w:spacing w:after="0" w:line="560" w:lineRule="exact"/>
        <w:ind w:firstLine="643" w:firstLineChars="200"/>
        <w:rPr>
          <w:rFonts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具体情况如下：</w:t>
      </w:r>
    </w:p>
    <w:p w14:paraId="790359E9">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因公出国（境）费支出0.00万元，开支内容包括我单位无因公出国（境）费。单位全年安排的因公出国（境）团组0个，因公出国（境）0人次。</w:t>
      </w:r>
    </w:p>
    <w:p w14:paraId="337EC47D">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务用车购置及运行维护费0.00万元，其中：公务用车购置费0.00万元，公务用车运行维护费0.00万元。公务用车运行维护费开支内容包括我单位2024年度未安排公务用车运行维护费。公务用车购置数0辆，公务用车保有量0辆。国有资产占用情况中固定资产车辆0辆，与公务用车保有量差异原因是：我单位2023年度与2024年度均无公务用车。</w:t>
      </w:r>
    </w:p>
    <w:p w14:paraId="5387C946">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公务接待费0.00万元，开支内容包括我单位无公务接待费。单位全年安排的国内公务接待0批次，0人次。</w:t>
      </w:r>
    </w:p>
    <w:p w14:paraId="125977E7">
      <w:pPr>
        <w:spacing w:after="0" w:line="560" w:lineRule="exact"/>
        <w:ind w:firstLine="643" w:firstLineChars="200"/>
        <w:jc w:val="both"/>
        <w:rPr>
          <w:rFonts w:ascii="仿宋_GB2312" w:hAnsi="仿宋_GB2312" w:eastAsia="仿宋_GB2312" w:cs="仿宋_GB2312"/>
          <w:sz w:val="32"/>
          <w:szCs w:val="32"/>
          <w:lang w:eastAsia="zh-CN"/>
        </w:rPr>
      </w:pPr>
      <w:bookmarkStart w:id="0" w:name="_GoBack"/>
      <w:r>
        <w:rPr>
          <w:rFonts w:hint="eastAsia" w:ascii="仿宋_GB2312" w:hAnsi="仿宋_GB2312" w:eastAsia="仿宋_GB2312" w:cs="仿宋_GB2312"/>
          <w:b/>
          <w:bCs/>
          <w:sz w:val="32"/>
          <w:szCs w:val="32"/>
          <w:lang w:eastAsia="zh-CN"/>
        </w:rPr>
        <w:t>与全年预算相比，</w:t>
      </w:r>
      <w:bookmarkEnd w:id="0"/>
      <w:r>
        <w:rPr>
          <w:rFonts w:hint="eastAsia" w:ascii="仿宋_GB2312" w:hAnsi="仿宋_GB2312" w:eastAsia="仿宋_GB2312" w:cs="仿宋_GB2312"/>
          <w:sz w:val="32"/>
          <w:szCs w:val="32"/>
          <w:lang w:eastAsia="zh-CN"/>
        </w:rPr>
        <w:t>财政拨款“三公”经费支出全年预算数0.00万元，决算数0.00万元，预决算差异率0.00%，主要原因是：我单位2024年预算未安排财政拨款“三公”经费支出。其中：因公出国（境）费全年预算数0.00万元，决算数0.00万元，预决算差异率0.00%，主要原因是：我单位2024年预算未安排因公出国（境）费。公务用车购置费全年预算数0.00万元，决算数0.00万元，预决算差异率0.00%，主要原因是：我单位2024年预算未安排公务用车购置费。公务用车运行维护费全年预算数0.00万元，决算数0.00万元，预决算差异率0.00%，主要原因是：我单位2024年预算未安排公务用车运行维护费。公务接待费全年预算数0.00万元，决算数0.00万元，预决算差异率0.00%，主要原因是：我单位2024年预算未安排公务接待费。</w:t>
      </w:r>
    </w:p>
    <w:p w14:paraId="1A6CAB45">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514F98BA">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（一）机关运行经费及公用经费支出情况</w:t>
      </w:r>
    </w:p>
    <w:p w14:paraId="2EE4BC57">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2024年度公用经费支出62.92万元，比上年增加16.20万元，增长34.67%，主要原因是：政策性因素增资使得</w:t>
      </w:r>
      <w:r>
        <w:rPr>
          <w:rFonts w:hint="eastAsia" w:ascii="仿宋_GB2312" w:eastAsia="仿宋_GB2312"/>
          <w:sz w:val="32"/>
          <w:szCs w:val="32"/>
          <w:lang w:eastAsia="zh-CN"/>
        </w:rPr>
        <w:t>工会经费、福利费较上年度增长，因此机关运行经费及</w:t>
      </w:r>
      <w:r>
        <w:rPr>
          <w:rFonts w:ascii="仿宋_GB2312" w:eastAsia="仿宋_GB2312"/>
          <w:sz w:val="32"/>
          <w:szCs w:val="32"/>
          <w:lang w:eastAsia="zh-CN"/>
        </w:rPr>
        <w:t>公用经费相应增长。</w:t>
      </w:r>
    </w:p>
    <w:p w14:paraId="5BF83945">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（二）政府采购情况</w:t>
      </w:r>
    </w:p>
    <w:p w14:paraId="6B217CE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2024年度政府采购支出总额0.50万元，其中：政府采购货物支出0.50万元、政府采购工程支出0.00万元、政府采购服务支出0.00万元。</w:t>
      </w:r>
    </w:p>
    <w:p w14:paraId="57DEAB1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授予中小企业合同金额0.50万元，占政府采购支出总额的100.00%，其中：授予小微企业合同金额0.50万元，占政府采购支出总额的100.00%。</w:t>
      </w:r>
    </w:p>
    <w:p w14:paraId="71EAA51A">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（三）国有资产占用情况说明</w:t>
      </w:r>
    </w:p>
    <w:p w14:paraId="6C69C70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截至2024年12月31日，房屋40.00平方米，价值1.50万元。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0台。</w:t>
      </w:r>
    </w:p>
    <w:p w14:paraId="36F563A3">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078B702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1个，全年预算数1,500.36万元，全年执行数1,398.19万元。预算绩效管理取得的成效：一是按照绩效目标高效、高质量完成各项工作内容；二是能够及时发现问题并及时调整各项工作内容。发现的问题及原因：一是前期绩效目标不够细致；二是没有考虑到项目实施可能遇到的变量。下一步改进措施：一是完善预算绩效管理基础工作，做细各项绩效指标；二是继续提升预算绩效管理的深度和广度，全面考虑项目实施各项因素。具体附项目支出绩效自评表。</w:t>
      </w:r>
    </w:p>
    <w:p w14:paraId="0D8D2611">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7727EBF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870E5EF">
      <w:pPr>
        <w:spacing w:after="0" w:line="560" w:lineRule="exact"/>
        <w:ind w:firstLine="640" w:firstLineChars="200"/>
        <w:rPr>
          <w:rFonts w:ascii="仿宋_GB2312" w:eastAsia="仿宋_GB2312"/>
          <w:sz w:val="32"/>
          <w:szCs w:val="32"/>
          <w:lang w:eastAsia="zh-CN"/>
        </w:rPr>
      </w:pPr>
    </w:p>
    <w:p w14:paraId="35EB19C0">
      <w:pPr>
        <w:spacing w:after="0" w:line="560" w:lineRule="exact"/>
        <w:rPr>
          <w:lang w:eastAsia="zh-CN"/>
        </w:rPr>
      </w:pPr>
      <w:r>
        <w:rPr>
          <w:sz w:val="0"/>
          <w:szCs w:val="0"/>
          <w:lang w:eastAsia="zh-CN"/>
        </w:rPr>
        <w:br w:type="page"/>
      </w:r>
    </w:p>
    <w:p w14:paraId="04500F07">
      <w:pPr>
        <w:spacing w:after="0" w:line="560" w:lineRule="exact"/>
        <w:jc w:val="center"/>
        <w:outlineLvl w:val="0"/>
        <w:rPr>
          <w:rFonts w:ascii="黑体" w:eastAsia="黑体"/>
          <w:sz w:val="32"/>
          <w:szCs w:val="32"/>
          <w:lang w:eastAsia="zh-CN"/>
        </w:rPr>
      </w:pPr>
      <w:r>
        <w:rPr>
          <w:rFonts w:ascii="黑体" w:eastAsia="黑体"/>
          <w:sz w:val="32"/>
          <w:szCs w:val="32"/>
          <w:lang w:eastAsia="zh-CN"/>
        </w:rPr>
        <w:t>第三部分专业名词解释</w:t>
      </w:r>
    </w:p>
    <w:p w14:paraId="6DC1018D">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D243220">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8360A1B">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F4018E6">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AF4A60B">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D4ECF41">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hint="eastAsia" w:ascii="仿宋_GB2312" w:hAnsi="仿宋_GB2312" w:eastAsia="仿宋_GB2312" w:cs="仿宋_GB2312"/>
          <w:sz w:val="32"/>
          <w:szCs w:val="32"/>
          <w:lang w:eastAsia="zh-CN"/>
        </w:rPr>
        <w:t>指除上述“财政拨款收入”、“事业收入”、“经营收入”、“附属单位上缴收入”等之外取得的收入。</w:t>
      </w:r>
    </w:p>
    <w:p w14:paraId="286A048E">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7360892">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2E15E7">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F40FE09">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7D43912">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4569A56">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896DA24">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十三、</w:t>
      </w:r>
      <w:r>
        <w:rPr>
          <w:rFonts w:hint="eastAsia" w:ascii="仿宋_GB2312" w:hAnsi="仿宋_GB2312" w:eastAsia="仿宋_GB2312" w:cs="仿宋_GB2312"/>
          <w:b/>
          <w:sz w:val="32"/>
          <w:szCs w:val="32"/>
          <w:lang w:eastAsia="zh-CN"/>
        </w:rPr>
        <w:t>“三公”经费</w:t>
      </w:r>
      <w:r>
        <w:rPr>
          <w:rFonts w:ascii="仿宋_GB2312" w:eastAsia="仿宋_GB2312"/>
          <w:b/>
          <w:sz w:val="32"/>
          <w:szCs w:val="32"/>
          <w:lang w:eastAsia="zh-CN"/>
        </w:rPr>
        <w:t>：</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62DA35">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03A5F90">
      <w:pPr>
        <w:spacing w:after="0" w:line="560" w:lineRule="exact"/>
        <w:rPr>
          <w:lang w:eastAsia="zh-CN"/>
        </w:rPr>
      </w:pPr>
      <w:r>
        <w:rPr>
          <w:sz w:val="0"/>
          <w:szCs w:val="0"/>
          <w:lang w:eastAsia="zh-CN"/>
        </w:rPr>
        <w:br w:type="page"/>
      </w:r>
    </w:p>
    <w:p w14:paraId="1145F0D1">
      <w:pPr>
        <w:spacing w:after="0" w:line="560" w:lineRule="exact"/>
        <w:jc w:val="center"/>
        <w:outlineLvl w:val="0"/>
        <w:rPr>
          <w:rFonts w:ascii="黑体" w:eastAsia="黑体"/>
          <w:sz w:val="32"/>
          <w:szCs w:val="32"/>
          <w:lang w:eastAsia="zh-CN"/>
        </w:rPr>
      </w:pPr>
      <w:r>
        <w:rPr>
          <w:rFonts w:ascii="黑体" w:eastAsia="黑体"/>
          <w:sz w:val="32"/>
          <w:szCs w:val="32"/>
          <w:lang w:eastAsia="zh-CN"/>
        </w:rPr>
        <w:t>第四部分部门决算报表（见附表）</w:t>
      </w:r>
    </w:p>
    <w:p w14:paraId="7F1D831A">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90E70BD">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7359815">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60341C3">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4F73ABC">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6226AE5">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CFCE4B7">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173C39D">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1312C44">
      <w:pPr>
        <w:spacing w:after="0" w:line="560" w:lineRule="exact"/>
        <w:ind w:firstLine="640" w:firstLineChars="200"/>
        <w:outlineLvl w:val="1"/>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MzYjlkMjUyYjJiNmQ2YmQ0NTQ2NjQwZmViMTQ0NDAifQ=="/>
  </w:docVars>
  <w:rsids>
    <w:rsidRoot w:val="00A60F3F"/>
    <w:rsid w:val="00440DEA"/>
    <w:rsid w:val="007772D2"/>
    <w:rsid w:val="008B5742"/>
    <w:rsid w:val="00A2121F"/>
    <w:rsid w:val="00A60F3F"/>
    <w:rsid w:val="00AE715E"/>
    <w:rsid w:val="00C16C1D"/>
    <w:rsid w:val="00C26F4D"/>
    <w:rsid w:val="00CE7875"/>
    <w:rsid w:val="00EC0957"/>
    <w:rsid w:val="00FA5C97"/>
    <w:rsid w:val="00FD267A"/>
    <w:rsid w:val="01225BD7"/>
    <w:rsid w:val="081F6E6E"/>
    <w:rsid w:val="142F3B2E"/>
    <w:rsid w:val="1B172943"/>
    <w:rsid w:val="3F201390"/>
    <w:rsid w:val="4111375F"/>
    <w:rsid w:val="468C78D8"/>
    <w:rsid w:val="4DC6263D"/>
    <w:rsid w:val="628A295F"/>
    <w:rsid w:val="6F182897"/>
    <w:rsid w:val="78FD2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Char"/>
    <w:basedOn w:val="13"/>
    <w:link w:val="8"/>
    <w:qFormat/>
    <w:uiPriority w:val="99"/>
  </w:style>
  <w:style w:type="character" w:customStyle="1" w:styleId="17">
    <w:name w:val="标题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标题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标题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5228</Words>
  <Characters>5838</Characters>
  <Lines>42</Lines>
  <Paragraphs>12</Paragraphs>
  <TotalTime>10</TotalTime>
  <ScaleCrop>false</ScaleCrop>
  <LinksUpToDate>false</LinksUpToDate>
  <CharactersWithSpaces>5848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2025-08-21T09:25:00Z</dcterms:created>
  <dc:creator>Lenovo</dc:creator>
  <cp:lastModifiedBy>晶</cp:lastModifiedBy>
  <dcterms:modified xsi:type="dcterms:W3CDTF">2025-08-25T03:04:08Z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eyJoZGlkIjoiODFkN2IxNDhjZjg5NmQ2NGM2MDc2OTFlNWI4MDU2NDUiLCJ1c2VySWQiOiIyMzk3MjgxNjgifQ==</vt:lpwstr>
  </property>
  <property fmtid="{D5CDD505-2E9C-101B-9397-08002B2CF9AE}" pid="3" name="KSOProductBuildVer">
    <vt:lpwstr>2052-12.1.0.22529</vt:lpwstr>
  </property>
  <property fmtid="{D5CDD505-2E9C-101B-9397-08002B2CF9AE}" pid="4" name="ICV">
    <vt:lpwstr>8CF146707B5046199B5156CA47B97F3D_12</vt:lpwstr>
  </property>
</Properties>
</file>