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8" w:lineRule="exact"/>
        <w:jc w:val="left"/>
        <w:textAlignment w:val="auto"/>
        <w:outlineLvl w:val="9"/>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附件2：</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自治区财政项目支出绩效自评报告</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 xml:space="preserve">（   </w:t>
      </w:r>
      <w:r>
        <w:rPr>
          <w:rStyle w:val="17"/>
          <w:rFonts w:hint="eastAsia" w:ascii="仿宋_GB2312" w:hAnsi="仿宋_GB2312" w:eastAsia="仿宋_GB2312" w:cs="仿宋_GB2312"/>
          <w:b w:val="0"/>
          <w:bCs w:val="0"/>
          <w:spacing w:val="-4"/>
          <w:sz w:val="32"/>
          <w:szCs w:val="32"/>
        </w:rPr>
        <w:t>2024</w:t>
      </w:r>
      <w:r>
        <w:rPr>
          <w:rFonts w:hint="eastAsia" w:ascii="仿宋_GB2312" w:hAnsi="仿宋_GB2312" w:eastAsia="仿宋_GB2312" w:cs="仿宋_GB2312"/>
          <w:b w:val="0"/>
          <w:bCs w:val="0"/>
          <w:kern w:val="0"/>
          <w:sz w:val="32"/>
          <w:szCs w:val="32"/>
        </w:rPr>
        <w:t xml:space="preserve">  年度）</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jc w:val="left"/>
        <w:textAlignment w:val="auto"/>
        <w:outlineLvl w:val="9"/>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800" w:firstLineChars="250"/>
        <w:jc w:val="left"/>
        <w:textAlignment w:val="auto"/>
        <w:outlineLvl w:val="9"/>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项目名称：</w:t>
      </w:r>
      <w:r>
        <w:rPr>
          <w:rStyle w:val="17"/>
          <w:rFonts w:hint="eastAsia" w:ascii="仿宋_GB2312" w:hAnsi="仿宋_GB2312" w:eastAsia="仿宋_GB2312" w:cs="仿宋_GB2312"/>
          <w:b w:val="0"/>
          <w:bCs w:val="0"/>
          <w:spacing w:val="-4"/>
          <w:sz w:val="32"/>
          <w:szCs w:val="32"/>
        </w:rPr>
        <w:t>新疆林科院森林生态研究所项目支出</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 xml:space="preserve">  实施单位（公章）：</w:t>
      </w:r>
      <w:r>
        <w:rPr>
          <w:rStyle w:val="17"/>
          <w:rFonts w:hint="eastAsia" w:ascii="仿宋_GB2312" w:hAnsi="仿宋_GB2312" w:eastAsia="仿宋_GB2312" w:cs="仿宋_GB2312"/>
          <w:b w:val="0"/>
          <w:bCs w:val="0"/>
          <w:spacing w:val="-4"/>
          <w:sz w:val="32"/>
          <w:szCs w:val="32"/>
        </w:rPr>
        <w:t>新疆林科院森林生态研究所</w:t>
      </w:r>
    </w:p>
    <w:p>
      <w:pPr>
        <w:keepNext w:val="0"/>
        <w:keepLines w:val="0"/>
        <w:pageBreakBefore w:val="0"/>
        <w:widowControl w:val="0"/>
        <w:kinsoku/>
        <w:wordWrap/>
        <w:overflowPunct/>
        <w:topLinePunct w:val="0"/>
        <w:autoSpaceDE/>
        <w:autoSpaceDN/>
        <w:bidi w:val="0"/>
        <w:adjustRightInd/>
        <w:snapToGrid/>
        <w:spacing w:line="578" w:lineRule="exact"/>
        <w:ind w:firstLine="800" w:firstLineChars="250"/>
        <w:textAlignment w:val="auto"/>
        <w:outlineLvl w:val="9"/>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主管部门（公章）：</w:t>
      </w:r>
      <w:r>
        <w:rPr>
          <w:rStyle w:val="17"/>
          <w:rFonts w:hint="eastAsia" w:ascii="仿宋_GB2312" w:hAnsi="仿宋_GB2312" w:eastAsia="仿宋_GB2312" w:cs="仿宋_GB2312"/>
          <w:b w:val="0"/>
          <w:bCs w:val="0"/>
          <w:spacing w:val="-4"/>
          <w:sz w:val="32"/>
          <w:szCs w:val="32"/>
        </w:rPr>
        <w:t>新疆林科院森林生态研究所</w:t>
      </w:r>
    </w:p>
    <w:p>
      <w:pPr>
        <w:keepNext w:val="0"/>
        <w:keepLines w:val="0"/>
        <w:pageBreakBefore w:val="0"/>
        <w:widowControl w:val="0"/>
        <w:kinsoku/>
        <w:wordWrap/>
        <w:overflowPunct/>
        <w:topLinePunct w:val="0"/>
        <w:autoSpaceDE/>
        <w:autoSpaceDN/>
        <w:bidi w:val="0"/>
        <w:adjustRightInd/>
        <w:snapToGrid/>
        <w:spacing w:line="578" w:lineRule="exact"/>
        <w:ind w:firstLine="800" w:firstLineChars="250"/>
        <w:textAlignment w:val="auto"/>
        <w:outlineLvl w:val="9"/>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项目负责人（签章）：</w:t>
      </w:r>
      <w:r>
        <w:rPr>
          <w:rStyle w:val="17"/>
          <w:rFonts w:hint="eastAsia" w:ascii="仿宋_GB2312" w:hAnsi="仿宋_GB2312" w:eastAsia="仿宋_GB2312" w:cs="仿宋_GB2312"/>
          <w:b w:val="0"/>
          <w:bCs w:val="0"/>
          <w:spacing w:val="-4"/>
          <w:sz w:val="32"/>
          <w:szCs w:val="32"/>
        </w:rPr>
        <w:t>张毓涛</w:t>
      </w:r>
    </w:p>
    <w:p>
      <w:pPr>
        <w:keepNext w:val="0"/>
        <w:keepLines w:val="0"/>
        <w:pageBreakBefore w:val="0"/>
        <w:widowControl w:val="0"/>
        <w:kinsoku/>
        <w:wordWrap/>
        <w:overflowPunct/>
        <w:topLinePunct w:val="0"/>
        <w:autoSpaceDE/>
        <w:autoSpaceDN/>
        <w:bidi w:val="0"/>
        <w:adjustRightInd/>
        <w:snapToGrid/>
        <w:spacing w:line="578" w:lineRule="exact"/>
        <w:ind w:left="273" w:firstLine="567"/>
        <w:textAlignment w:val="auto"/>
        <w:outlineLvl w:val="9"/>
        <w:rPr>
          <w:rStyle w:val="17"/>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填报时间：</w:t>
      </w:r>
      <w:r>
        <w:rPr>
          <w:rStyle w:val="17"/>
          <w:rFonts w:hint="eastAsia" w:ascii="仿宋_GB2312" w:hAnsi="仿宋_GB2312" w:eastAsia="仿宋_GB2312" w:cs="仿宋_GB2312"/>
          <w:b w:val="0"/>
          <w:bCs w:val="0"/>
          <w:spacing w:val="-4"/>
          <w:sz w:val="32"/>
          <w:szCs w:val="32"/>
        </w:rPr>
        <w:t>2025年03月18日</w:t>
      </w:r>
    </w:p>
    <w:p>
      <w:pPr>
        <w:keepNext w:val="0"/>
        <w:keepLines w:val="0"/>
        <w:pageBreakBefore w:val="0"/>
        <w:widowControl w:val="0"/>
        <w:kinsoku/>
        <w:wordWrap/>
        <w:overflowPunct/>
        <w:topLinePunct w:val="0"/>
        <w:autoSpaceDE/>
        <w:autoSpaceDN/>
        <w:bidi w:val="0"/>
        <w:adjustRightInd/>
        <w:snapToGrid/>
        <w:spacing w:line="578" w:lineRule="exact"/>
        <w:ind w:firstLine="755" w:firstLineChars="236"/>
        <w:jc w:val="left"/>
        <w:textAlignment w:val="auto"/>
        <w:outlineLvl w:val="9"/>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黑体" w:hAnsi="黑体" w:eastAsia="黑体" w:cs="黑体"/>
          <w:b w:val="0"/>
          <w:bCs w:val="0"/>
          <w:spacing w:val="-4"/>
          <w:sz w:val="32"/>
          <w:szCs w:val="32"/>
        </w:rPr>
      </w:pPr>
      <w:r>
        <w:rPr>
          <w:rStyle w:val="17"/>
          <w:rFonts w:hint="eastAsia" w:ascii="黑体" w:hAnsi="黑体" w:eastAsia="黑体" w:cs="黑体"/>
          <w:b w:val="0"/>
          <w:bCs w:val="0"/>
          <w:spacing w:val="-4"/>
          <w:sz w:val="32"/>
          <w:szCs w:val="32"/>
        </w:rPr>
        <w:t>一、基本情况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楷体" w:hAnsi="楷体" w:eastAsia="楷体" w:cs="楷体"/>
          <w:b w:val="0"/>
          <w:bCs w:val="0"/>
          <w:spacing w:val="-4"/>
          <w:sz w:val="32"/>
          <w:szCs w:val="32"/>
        </w:rPr>
      </w:pPr>
      <w:r>
        <w:rPr>
          <w:rStyle w:val="17"/>
          <w:rFonts w:hint="eastAsia" w:ascii="楷体" w:hAnsi="楷体" w:eastAsia="楷体" w:cs="楷体"/>
          <w:b w:val="0"/>
          <w:bCs w:val="0"/>
          <w:spacing w:val="-4"/>
          <w:sz w:val="32"/>
          <w:szCs w:val="32"/>
        </w:rPr>
        <w:t>（一）项目概况。包括项目背景、主要内容及实施情况、资金投入和使用情况等。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78" w:lineRule="exact"/>
        <w:ind w:left="319" w:leftChars="152" w:firstLine="530" w:firstLineChars="170"/>
        <w:textAlignment w:val="auto"/>
        <w:outlineLvl w:val="9"/>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78" w:lineRule="exact"/>
        <w:ind w:left="319" w:leftChars="152" w:firstLine="530" w:firstLineChars="17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党的十八大首次将生态文明建设作为“五位一体”总体布局的一个重要部分，以习近平同志为核心的党中央站在中华民族永续发展的战略高度，作出了加强生态文明建设的重大决策部署。十八届三中、四中全会先后提出“建立系统完整的生态文明制度体系”、“用严格的法律制度保护生态环境”，将生态文明建设提升到制度层面。生态文明建设是党中央做出的重大战略决策，是关系到人民福祉、国家命运、民族未来的长远根本大计。2020年9月25日至26日，第三次中央新疆工作座谈会在北京召开。习近平总书记在会上提出“要坚持绿水青山就是金山银山的理念，坚决守住生态保护红线，统筹开展森林草原保护工作”；习近平书记在加强荒漠化综合防治和推进“三北”等重点生态工程建设座谈会强调，加强荒漠化综合防治，深入推进“三北”等重点生态工程建设，事关我国生态安全、事关强国建设、事关中华民族永续发展，是一项功在当代、利在千秋的崇高事业，要全面抓好祁连山、天山、阿尔泰山、贺兰山、六盘山等区域天然林草植被的封育封禁保护，加强退化林和退化草原修复，确保沙源不扩散。要坚持系统观念，扎实推进山水林田湖草沙一体化保护和系统治理。要统筹森林、草原、湿地、荒漠生态保护修复，加强治沙、治水、治山全要素协调和管理，着力培育健康稳定、功能完备的森林、草原、湿地、荒漠生态系统。</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为深入贯彻落实党的二十大关于科学开展大规模国土绿化行动的决策部署，认真贯彻落实习近平总书记关于着力提升森林质量，特别是在加强荒漠化综合防治和推进“三北”等重点工程建设座谈会上的重要讲话精神，项目对博州精河国有林管理局，三台国有林管理局，哈夏国有林管理局，哈日图热格国有林管理局，新疆夏尔希里自然保护区管理站、新疆甘家湖梭梭林国家级自然保护区精河管理分局的有林地和灌木林地进行全面细致的调查，准确掌握退化林的分布、成因及退化程度，为摸清博州退化林底数，科学编制退化林修复规划、合理安排退化林修复任务提供支撑和保障。</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新疆林科院森林生态研究所项目支出主要内容为布设固定监测样地、大型固定监测样地、地表径流观测场和综合观测场。调查森林生态系统群落动态特征、森林更新（幼苗、幼树）、枯损率（枯立木、倒木）、森林蓄积、年生长量等林分质量、土壤质量、生物多样性、地表径流量、土壤侵蚀模数、林分蒸散量、大气负氧离子等，进行长期森林生态系统定位动态观测和资料收集，了解掌握森林结构和质量变化，完成生态效益评估、常态化生态系统定位站监测工作，并提交观测报告。</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资金投入及使用情况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（1）资金投入情况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2024年新疆林科院森林生态研究所项目年初预算经费1097万元，为基本户自有资金，截止2024年12月31日项目资金已到位1097万元，到位率100%。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（2）使用情况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截止2024年12月31日，该专项预算资金执行率为100%。</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楷体" w:hAnsi="楷体" w:eastAsia="楷体" w:cs="楷体"/>
          <w:b w:val="0"/>
          <w:bCs w:val="0"/>
          <w:spacing w:val="-4"/>
          <w:sz w:val="32"/>
          <w:szCs w:val="32"/>
        </w:rPr>
      </w:pPr>
      <w:r>
        <w:rPr>
          <w:rStyle w:val="17"/>
          <w:rFonts w:hint="eastAsia" w:ascii="楷体" w:hAnsi="楷体" w:eastAsia="楷体" w:cs="楷体"/>
          <w:b w:val="0"/>
          <w:bCs w:val="0"/>
          <w:spacing w:val="-4"/>
          <w:sz w:val="32"/>
          <w:szCs w:val="32"/>
        </w:rPr>
        <w:t>（二）项目绩效目标。包括总体目标和阶段性目标。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1、总体目标</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提交观测报告&gt;=3篇；购置材料批次&gt;=5次；监测指标&gt;=10次；绩效发放人数&gt;=10人；监测数据库准确率=100%；材料、设备质量合格率&gt;=85%；任务按进度完成&gt;=90%；发表论文数量&gt;=2篇；科研人员满意度&gt;=95%。</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 w:hAnsi="仿宋" w:eastAsia="仿宋" w:cs="仿宋"/>
          <w:b w:val="0"/>
          <w:bCs w:val="0"/>
          <w:spacing w:val="-4"/>
          <w:sz w:val="32"/>
          <w:szCs w:val="32"/>
          <w:lang w:val="en-US" w:eastAsia="zh-CN"/>
        </w:rPr>
        <w:t xml:space="preserve"> </w:t>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2024年5月，依据森林生态系统定位观测研究站项目进度安排，博州林草局党组成员山区管理站站长、精河国有林管理局负责人和新疆林科院森林生态研究所项目团队成员联合组成调研组，对项目实施区域进行详细踏查，初步完成主辅站点、大型固定监测样地等选址工作。主站设在精河国有林管理局巴音那木管护站（83°7'15"E，44°21'47"N）72林班（81小班）。</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2024年7月，项目组一行38人依据森林生态系统定位观测研究站项目实施方案，前往国有林管理局布设大型固定监测样地、乔灌木固定监测样地、综合观测场和地表径流场，并开展调查监测工作。</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黑体" w:hAnsi="黑体" w:eastAsia="黑体" w:cs="黑体"/>
          <w:b w:val="0"/>
          <w:bCs w:val="0"/>
          <w:spacing w:val="-4"/>
          <w:sz w:val="32"/>
          <w:szCs w:val="32"/>
        </w:rPr>
      </w:pPr>
      <w:r>
        <w:rPr>
          <w:rStyle w:val="17"/>
          <w:rFonts w:hint="eastAsia" w:ascii="黑体" w:hAnsi="黑体" w:eastAsia="黑体" w:cs="黑体"/>
          <w:b w:val="0"/>
          <w:bCs w:val="0"/>
          <w:spacing w:val="-4"/>
          <w:sz w:val="32"/>
          <w:szCs w:val="32"/>
        </w:rPr>
        <w:t>二、绩效评价工作开展情况</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eastAsia" w:ascii="楷体" w:hAnsi="楷体" w:eastAsia="楷体" w:cs="楷体"/>
          <w:b w:val="0"/>
          <w:bCs w:val="0"/>
          <w:spacing w:val="-4"/>
          <w:sz w:val="32"/>
          <w:szCs w:val="32"/>
        </w:rPr>
      </w:pPr>
      <w:r>
        <w:rPr>
          <w:rStyle w:val="17"/>
          <w:rFonts w:hint="eastAsia" w:ascii="楷体" w:hAnsi="楷体" w:eastAsia="楷体" w:cs="楷体"/>
          <w:b w:val="0"/>
          <w:bCs w:val="0"/>
          <w:spacing w:val="-4"/>
          <w:sz w:val="32"/>
          <w:szCs w:val="32"/>
        </w:rPr>
        <w:t>（一）绩效评价目的、对象和范围。</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 w:hAnsi="仿宋" w:eastAsia="仿宋" w:cs="仿宋"/>
          <w:b w:val="0"/>
          <w:bCs w:val="0"/>
          <w:spacing w:val="-4"/>
          <w:sz w:val="32"/>
          <w:szCs w:val="32"/>
        </w:rPr>
        <w:t>（一）绩效评价目的、对象和范围。</w:t>
      </w:r>
      <w:r>
        <w:rPr>
          <w:rStyle w:val="17"/>
          <w:rFonts w:hint="eastAsia" w:ascii="仿宋" w:hAnsi="仿宋" w:eastAsia="仿宋" w:cs="仿宋"/>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1.绩效评价目的</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通过对新疆林科院森林生态研究所项目开展绩效评价，了解和掌握项目实施的具体情况，客观评价项目资金安排的科学性、合理性、规范性和资金使用成效，及时总结项目管理经验，完善项目管理办法，提高项目管理水平和资金的使用效益。</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（2）促使项目承担单位根据绩效评价中发现的问题，认真加以整改，及时调整和完善单位的工作计划和绩效目标并加强项目管理，提高管理水平，同时为项目后续资金投入、分配和管理提供决策依据。</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t>2.绩效评价对象</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本次评价从项目决策、项目管理、项目产出、项目效益四个维度进行评价，评价对象为2024年度立项的新疆林科院森林生态研究所项目支出，涉及资金1097万元。</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 w:hAnsi="仿宋" w:eastAsia="仿宋" w:cs="仿宋"/>
          <w:b w:val="0"/>
          <w:bCs w:val="0"/>
          <w:spacing w:val="-4"/>
          <w:sz w:val="32"/>
          <w:szCs w:val="32"/>
        </w:rPr>
        <w:t>（二）绩效评价原则、评价指标体系（附表说明）、评价方法、评价标准等。</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1.绩效评价依据和原则</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疆林科院森林生态研究所项目支出实际开展情况，运用定量和定性分析相结合的方法，客观评价项目实施成效。</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2.绩效评价指标体系</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t>目共设置项目决策、项目过程、项目产出、项目效益四个一级指标，并按科学及相关性要求分别设立二级和三级指标。项目绩效评价指标体系，评分表满分100分，见下表：</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项目支出绩效评价指标体系</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二级指标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项目决策（20分）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项目立项</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6</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绩效目标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6</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资金投入</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项目过程（20分）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资金管理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组织实施</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项目产出（40分）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数量指标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30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质量指标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时效指标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项目效果（20分）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效益指标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满意度指标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合计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在设计绩效评价指标体系时，首先确定总目标，根据权数逐级确定至三级指标的标准值，再分解至每项考查内容。每项考查内容依据实际考查结果评定，其中指标完成值由实施单位提供的资料予以评定，指标完成值按照预期指标值评定，根据指标完成值确定指标完成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通过对绩效评价方法的综合运用，对获取的各类数据进行汇总、分类和分析。对于量化指标，进行量化分析，得出财政支出绩效评价的量化结果；对于定性指标，则通过调查问卷、电话沟通等方法，对财政支出的效果进行定性评价。</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t>3.评价方法</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新疆林科院森林生态研究所项目绩效评价方法是通过对绩效目标与项目实施效果进行比较，综合分析绩效目标实现的程度。详细方法应用如下：</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比较法：通过梳理该项目实施方案和实际完成情况，评价产出指标的完成情况，分析项目实施后产生的效益效果。</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4.评价标准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 xml:space="preserve">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  </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采取对照项目合同，查阅相关资料，核实、查证、分析、论证有关情况和问题，信息汇总、分析判断，填写绩效评价指标表，得出绩效评价结论，撰写绩效评价报告，整理归档，完成绩效评价工作。</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黑体" w:hAnsi="黑体" w:eastAsia="黑体" w:cs="黑体"/>
          <w:b w:val="0"/>
          <w:bCs w:val="0"/>
          <w:spacing w:val="-4"/>
          <w:sz w:val="32"/>
          <w:szCs w:val="32"/>
        </w:rPr>
      </w:pPr>
      <w:r>
        <w:rPr>
          <w:rStyle w:val="17"/>
          <w:rFonts w:hint="eastAsia" w:ascii="黑体" w:hAnsi="黑体" w:eastAsia="黑体" w:cs="黑体"/>
          <w:b w:val="0"/>
          <w:bCs w:val="0"/>
          <w:spacing w:val="-4"/>
          <w:sz w:val="32"/>
          <w:szCs w:val="32"/>
        </w:rPr>
        <w:t>三、综合评价情况及评价结论</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依据《项目支出绩效评价管理办法》（财预〔2020〕10号）文件，绩效评价总分设置为100分，划分为四档：90（含）-100分为优，80（含）-90分为良，60（含）-80分为中，60分以下为差。经综合分析评价，该计划项目得分89分，绩效等级评定为“良”。</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整体绩效分值</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分值</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得分率（%）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项目决策</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项目过程</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项目产出</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33</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82.5%</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 xml:space="preserve"> 项目效果</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16</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合  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89</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89%</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黑体" w:hAnsi="黑体" w:eastAsia="黑体" w:cs="黑体"/>
          <w:b w:val="0"/>
          <w:bCs w:val="0"/>
          <w:sz w:val="32"/>
          <w:szCs w:val="32"/>
        </w:rPr>
      </w:pPr>
      <w:r>
        <w:rPr>
          <w:rStyle w:val="17"/>
          <w:rFonts w:hint="eastAsia" w:ascii="黑体" w:hAnsi="黑体" w:eastAsia="黑体" w:cs="黑体"/>
          <w:b w:val="0"/>
          <w:bCs w:val="0"/>
          <w:spacing w:val="-4"/>
          <w:sz w:val="32"/>
          <w:szCs w:val="32"/>
        </w:rPr>
        <w:t xml:space="preserve">四、绩效评价指标分析 </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eastAsia" w:ascii="仿宋_GB2312" w:hAnsi="仿宋_GB2312" w:eastAsia="仿宋_GB2312" w:cs="仿宋_GB2312"/>
          <w:b w:val="0"/>
          <w:bCs w:val="0"/>
          <w:spacing w:val="-4"/>
          <w:sz w:val="32"/>
          <w:szCs w:val="32"/>
        </w:rPr>
      </w:pPr>
      <w:r>
        <w:rPr>
          <w:rFonts w:hint="eastAsia" w:ascii="楷体" w:hAnsi="楷体" w:eastAsia="楷体" w:cs="楷体"/>
          <w:b w:val="0"/>
          <w:bCs w:val="0"/>
          <w:spacing w:val="-4"/>
          <w:sz w:val="32"/>
          <w:szCs w:val="32"/>
        </w:rPr>
        <w:t>（一）项目决策情况。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二级指标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目标值</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得分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A决策</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（20分）　</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A1项目立项</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（6分）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充分合规</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6</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6</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A2绩效目标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（6分）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合理明确</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6</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6</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A3资金投入</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（8分）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科学合理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合计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1.项目立项</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2024年新疆林科院森林生态研究所项目按照《林业科学院委员会会议纪要》（〔2023〕15号），审议通过“关于新疆林业科学院2024年度部门预算报表草案编制审核报送的请示”。项目立项符合国家法律法规、国民经济发展规划和相关政策。</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2024年新疆林科院森林生态研究所项目立项工作严格按照《新疆林科院科研项目及经费管理办法》（新林科院函〔2024〕34号）相关规定程序立项，审批文件、材料符合相关要求。</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项目事前已经过必要的可行性研究、绩效评估、集体决策。</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该指标满分为6分，根据评分标准得6分。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2.绩效目标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2024年新疆林科院森林生态研究所项目支出绩效目标表》该项目有绩效目标。该项目支出绩效目标表、实施方案、项目合同书、项目自评报告或项目年度执行情况报告等资料齐全，项目绩效目标与实际工作内容相关。</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2024年新疆林科院森林生态研究所项目绩效目标总任务为各课题计划完成的绩效目标合计，目标任务与计划数相对应。</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该指标满分为6分，根据评分标准得6分。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3.资金投入</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根据《自治区财政科研项目资金管理办法》文件要求：“预算编制按照项目实施的合理需要，坚持目标相关性、政策相符性和资金合理性的原则。</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2024年新疆林科院森林生态研究所项目各课题已按要求进行了预算编制，预算的编制有依据且与项目内容及工作任务相匹配，并经过财务专家评审。</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2024年新疆林科院森林生态研究所项目按照《自治区财政科研项目资金管理办法》中“合理确定资金拨付计划。自治区科技厅要根据不同类型项目特点、研究进度、资金需求等，合理制定财政科研项目资金拨付计划。</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该指标满分为8分，根据评分标准得8分。</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（二）项目过程情况。</w:t>
      </w:r>
    </w:p>
    <w:p>
      <w:pPr>
        <w:keepNext w:val="0"/>
        <w:keepLines w:val="0"/>
        <w:pageBreakBefore w:val="0"/>
        <w:widowControl w:val="0"/>
        <w:kinsoku/>
        <w:wordWrap/>
        <w:overflowPunct/>
        <w:topLinePunct w:val="0"/>
        <w:autoSpaceDE/>
        <w:autoSpaceDN/>
        <w:bidi w:val="0"/>
        <w:adjustRightInd/>
        <w:snapToGrid/>
        <w:spacing w:line="578" w:lineRule="exact"/>
        <w:ind w:firstLine="2087" w:firstLineChars="669"/>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（二）项目过程情况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二级指标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三级指标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目标值</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得分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B项目过程</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B1资金管理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B11 资金到位率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B12 预算执行率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B13 资金使用合规性</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合规</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B3组织实施</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（10分）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组织实施</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制定和执行健全有效</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合计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1.资金管理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 xml:space="preserve">（1）B11资金到位率指标  </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资金到位率=（实际到位资金/预算资金）×100%。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项目总预算资金为1097万元，到位率为100%。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该指标满分为4分，根据评分标准得4分。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（2）B12预算执行率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预算执行率=（实际使用资金/到位资金）×100%。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根据项目拨款情况统计表，截止2024年12月31日，预算执行率为100%。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该指标满分为4分，根据评分标准得4分。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（3）B13资金使用合规性</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根据各项目单位提供的资金执行情况统计表，项目相关单位在资金使用方面符合国家财经法规和财务管理制度以及有关专项资金管理办法的规定。</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该指标满分为2分，根据评分标准得2分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2.组织实施</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2024年新疆林科院森林生态研究所项目实施方案完整、且按年度对指标完成情况进行了细化，无重大调整。各项目均在实施初期阶段，基本能够按照实施方案和计划执行。</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资金使用根据《新疆林科院科研项目及经费管理办法》（新林科院函〔2024〕34号）和《新疆林业科学院财务管理办法》相关要求制定了与科技项目管理相关的财务和业务管理制度，制度制定合法、合规、完整。</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 xml:space="preserve">项目实施遵守《中华人民共和国预算法》和《新疆林科院科研项目及经费管理办法》（新林科院函〔2024〕34号）相关规定；项目合同书等资料齐全。 </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该指标满分为10分，根据评分标准得10分。</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（三）项目产出情况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项目产出评价指标权重分值共计40分，根据评分标准得分40分，失分7分，得分33分，得分率82.5%，具体如下：</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二级指标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三级指标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目标值</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完成</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情况</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得分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C项目产出</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（40分）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C1数量指标（30分）提交观测报告</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&gt;=3篇10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=3篇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购置材料批次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&gt;=5次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监测指标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&gt;=10次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绩效发放人数</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&gt;=10人</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=23人</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C2质量指标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（5分）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监测数据库准确率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材料、设备质量合格率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=95%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2</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C3时效指标（5分）</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任务按进度完成</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&gt;=90%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=95%</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5</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合计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40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33</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1.数量指标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（1）提交观测报告</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根据年初绩效目标，本年提交观测报告3篇，等于目标值，故得8分,得分率80%。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该指标满分为10分，根据评分标准得8分。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（2）购置材料批次</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根据年初绩效目标，购置材料批次5次，等于目标值，故得4分，得分率80%。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（3）监测指标（次）</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根据年初绩效目标，监测指标10次，等于目标值，故得8分,得分率80%。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该指标满分为10分，根据评分标准得8分。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（4）绩效发放人数（人）</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根据年初绩效目标，绩效发放人数23人，大于目标值，故得4分,得分率80%。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（5）监测数据库准确率（%）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根据年初绩效目标，监测数据库准确率等于100%，等于目标值，故得2分,得分率80%。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该指标满分为2.5分，根据评分标准得2分。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（6）材料、设备质量合格率（%）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根据年初绩效目标，材料、设备质量合格率等于95%，大于目标值，故得2分,得分率80%。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该指标满分为2.5分，根据评分标准得2分。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（7）任务按进度完成</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根据年初绩效目标，任务按进度完成等于95%，大于目标值，故得5分,得分率100%。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该指标满分为5分，根据评分标准得5分。</w:t>
      </w:r>
    </w:p>
    <w:p>
      <w:pPr>
        <w:keepNext w:val="0"/>
        <w:keepLines w:val="0"/>
        <w:pageBreakBefore w:val="0"/>
        <w:widowControl w:val="0"/>
        <w:kinsoku/>
        <w:wordWrap/>
        <w:overflowPunct/>
        <w:topLinePunct w:val="0"/>
        <w:autoSpaceDE/>
        <w:autoSpaceDN/>
        <w:bidi w:val="0"/>
        <w:adjustRightInd/>
        <w:snapToGrid/>
        <w:spacing w:line="578" w:lineRule="exact"/>
        <w:ind w:firstLine="564" w:firstLineChars="181"/>
        <w:textAlignment w:val="auto"/>
        <w:outlineLvl w:val="9"/>
        <w:rPr>
          <w:rFonts w:hint="eastAsia" w:ascii="楷体" w:hAnsi="楷体" w:eastAsia="楷体" w:cs="楷体"/>
          <w:b w:val="0"/>
          <w:bCs w:val="0"/>
          <w:spacing w:val="-4"/>
          <w:sz w:val="32"/>
          <w:szCs w:val="32"/>
        </w:rPr>
      </w:pPr>
      <w:r>
        <w:rPr>
          <w:rFonts w:hint="eastAsia" w:ascii="楷体" w:hAnsi="楷体" w:eastAsia="楷体" w:cs="楷体"/>
          <w:b w:val="0"/>
          <w:bCs w:val="0"/>
          <w:spacing w:val="-4"/>
          <w:sz w:val="32"/>
          <w:szCs w:val="32"/>
        </w:rPr>
        <w:t>（四）项目效益情况。</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 w:hAnsi="仿宋" w:eastAsia="仿宋" w:cs="仿宋"/>
          <w:b w:val="0"/>
          <w:bCs w:val="0"/>
          <w:spacing w:val="-4"/>
          <w:sz w:val="32"/>
          <w:szCs w:val="32"/>
        </w:rPr>
        <w:t>（四）项目效益情况</w:t>
      </w:r>
      <w:r>
        <w:rPr>
          <w:rStyle w:val="17"/>
          <w:rFonts w:hint="eastAsia" w:ascii="仿宋" w:hAnsi="仿宋" w:eastAsia="仿宋" w:cs="仿宋"/>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一级指标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二级指标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三级指标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目标值</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权重</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得分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D项目效果(10分）　</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社会效益指标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发表论文数（篇）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&gt;=2篇</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合计</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10</w:t>
      </w: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8</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1.社会效益指标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（1）发表论文数量</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根据年初绩效目标，发表论文数量2篇，等于目标值，故得8分,得分率80%。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该指标满分为10分，根据评分标准得8分。</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（五）满意度指标完成情况分析</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1.满意度指标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（1）科研人员满意度（%）</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根据项目报送的项目绩效自评价报告，科研人员满意度=95%，完成目标值，故得8分，得分率80%。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该指标满分为10分，根据评分标准得8分。</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黑体" w:hAnsi="黑体" w:eastAsia="黑体" w:cs="黑体"/>
          <w:b w:val="0"/>
          <w:bCs w:val="0"/>
          <w:spacing w:val="-4"/>
          <w:sz w:val="32"/>
          <w:szCs w:val="32"/>
        </w:rPr>
      </w:pPr>
      <w:r>
        <w:rPr>
          <w:rStyle w:val="17"/>
          <w:rFonts w:hint="eastAsia" w:ascii="黑体" w:hAnsi="黑体" w:eastAsia="黑体" w:cs="黑体"/>
          <w:b w:val="0"/>
          <w:bCs w:val="0"/>
          <w:spacing w:val="-4"/>
          <w:sz w:val="32"/>
          <w:szCs w:val="32"/>
          <w:lang w:eastAsia="zh-CN"/>
        </w:rPr>
        <w:t>五</w:t>
      </w:r>
      <w:r>
        <w:rPr>
          <w:rStyle w:val="17"/>
          <w:rFonts w:hint="eastAsia" w:ascii="黑体" w:hAnsi="黑体" w:eastAsia="黑体" w:cs="黑体"/>
          <w:b w:val="0"/>
          <w:bCs w:val="0"/>
          <w:spacing w:val="-4"/>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主要经验及做法：优化资金使用计划，加强阶段性支出监管，确保后续年度预算执行效率。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 xml:space="preserve">存在的问题及原因分析：执行不力、外部因素等。 </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黑体" w:hAnsi="黑体" w:eastAsia="黑体" w:cs="黑体"/>
          <w:b w:val="0"/>
          <w:bCs w:val="0"/>
          <w:spacing w:val="-4"/>
          <w:sz w:val="32"/>
          <w:szCs w:val="32"/>
        </w:rPr>
      </w:pPr>
      <w:r>
        <w:rPr>
          <w:rStyle w:val="17"/>
          <w:rFonts w:hint="eastAsia" w:ascii="黑体" w:hAnsi="黑体" w:eastAsia="黑体" w:cs="黑体"/>
          <w:b w:val="0"/>
          <w:bCs w:val="0"/>
          <w:spacing w:val="-4"/>
          <w:sz w:val="32"/>
          <w:szCs w:val="32"/>
          <w:lang w:eastAsia="zh-CN"/>
        </w:rPr>
        <w:t>六</w:t>
      </w:r>
      <w:r>
        <w:rPr>
          <w:rStyle w:val="17"/>
          <w:rFonts w:hint="eastAsia" w:ascii="黑体" w:hAnsi="黑体" w:eastAsia="黑体" w:cs="黑体"/>
          <w:b w:val="0"/>
          <w:bCs w:val="0"/>
          <w:spacing w:val="-4"/>
          <w:sz w:val="32"/>
          <w:szCs w:val="32"/>
        </w:rPr>
        <w:t>、有关建议</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优化预算编制、加强过程监督；加强资金使用效率管理，确保预算执行与项目进度匹配。</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黑体" w:hAnsi="黑体" w:eastAsia="黑体" w:cs="黑体"/>
          <w:b w:val="0"/>
          <w:bCs w:val="0"/>
          <w:spacing w:val="-4"/>
          <w:sz w:val="32"/>
          <w:szCs w:val="32"/>
        </w:rPr>
      </w:pPr>
      <w:r>
        <w:rPr>
          <w:rStyle w:val="17"/>
          <w:rFonts w:hint="eastAsia" w:ascii="黑体" w:hAnsi="黑体" w:eastAsia="黑体" w:cs="黑体"/>
          <w:b w:val="0"/>
          <w:bCs w:val="0"/>
          <w:spacing w:val="-4"/>
          <w:sz w:val="32"/>
          <w:szCs w:val="32"/>
          <w:lang w:eastAsia="zh-CN"/>
        </w:rPr>
        <w:t>七</w:t>
      </w:r>
      <w:r>
        <w:rPr>
          <w:rStyle w:val="17"/>
          <w:rFonts w:hint="eastAsia" w:ascii="黑体" w:hAnsi="黑体" w:eastAsia="黑体" w:cs="黑体"/>
          <w:b w:val="0"/>
          <w:bCs w:val="0"/>
          <w:spacing w:val="-4"/>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78" w:lineRule="exact"/>
        <w:ind w:firstLine="624" w:firstLineChars="200"/>
        <w:textAlignment w:val="auto"/>
        <w:outlineLvl w:val="9"/>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本次预算绩效评价所采集的数据因为采集时间、数据来源等诸多因素的影响，可能会出现一定的偏差，进而对评价结果存在影响。</w:t>
      </w: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567"/>
        <w:textAlignment w:val="auto"/>
        <w:outlineLvl w:val="9"/>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Style w:val="17"/>
          <w:rFonts w:hint="eastAsia" w:ascii="仿宋_GB2312" w:hAnsi="仿宋_GB2312" w:eastAsia="仿宋_GB2312" w:cs="仿宋_GB2312"/>
          <w:b w:val="0"/>
          <w:bCs w:val="0"/>
          <w:spacing w:val="-4"/>
          <w:sz w:val="32"/>
          <w:szCs w:val="32"/>
        </w:rPr>
      </w:pPr>
      <w:bookmarkStart w:id="0" w:name="_GoBack"/>
      <w:bookmarkEnd w:id="0"/>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87C2D11"/>
    <w:rsid w:val="22866E9A"/>
    <w:rsid w:val="2C42591E"/>
    <w:rsid w:val="31F50670"/>
    <w:rsid w:val="4823235B"/>
    <w:rsid w:val="4C3D1751"/>
    <w:rsid w:val="4D2606A1"/>
    <w:rsid w:val="5C251627"/>
    <w:rsid w:val="68DF7696"/>
    <w:rsid w:val="76590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26</TotalTime>
  <ScaleCrop>false</ScaleCrop>
  <LinksUpToDate>false</LinksUpToDate>
  <CharactersWithSpaces>760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2025-08-25T02:42:44Z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160D1BA1944349B08C48068401F6E698</vt:lpwstr>
  </property>
</Properties>
</file>