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5C83F">
      <w:pPr>
        <w:spacing w:after="0" w:line="560" w:lineRule="exact"/>
        <w:rPr>
          <w:rFonts w:ascii="宋体" w:eastAsia="宋体"/>
          <w:sz w:val="32"/>
          <w:szCs w:val="32"/>
        </w:rPr>
      </w:pPr>
    </w:p>
    <w:p w14:paraId="29F598DE">
      <w:pPr>
        <w:spacing w:after="0" w:line="560" w:lineRule="exact"/>
        <w:rPr>
          <w:rFonts w:ascii="宋体" w:eastAsia="宋体"/>
          <w:sz w:val="44"/>
          <w:szCs w:val="44"/>
        </w:rPr>
      </w:pPr>
    </w:p>
    <w:p w14:paraId="4A13156C">
      <w:pPr>
        <w:spacing w:after="0" w:line="560" w:lineRule="exact"/>
        <w:rPr>
          <w:rFonts w:ascii="宋体" w:eastAsia="宋体"/>
          <w:sz w:val="44"/>
          <w:szCs w:val="44"/>
        </w:rPr>
      </w:pPr>
    </w:p>
    <w:p w14:paraId="7E57D26F">
      <w:pPr>
        <w:spacing w:after="0" w:line="560" w:lineRule="exact"/>
        <w:rPr>
          <w:rFonts w:ascii="宋体" w:eastAsia="宋体"/>
          <w:sz w:val="44"/>
          <w:szCs w:val="44"/>
        </w:rPr>
      </w:pPr>
    </w:p>
    <w:p w14:paraId="702D6CDB">
      <w:pPr>
        <w:spacing w:after="0" w:line="560" w:lineRule="exact"/>
        <w:jc w:val="center"/>
        <w:outlineLvl w:val="0"/>
        <w:rPr>
          <w:rFonts w:ascii="宋体" w:eastAsia="黑体"/>
          <w:sz w:val="44"/>
          <w:szCs w:val="44"/>
          <w:lang w:eastAsia="zh-CN"/>
        </w:rPr>
      </w:pPr>
      <w:r>
        <w:rPr>
          <w:rFonts w:ascii="宋体" w:eastAsia="黑体"/>
          <w:sz w:val="44"/>
          <w:szCs w:val="44"/>
          <w:lang w:eastAsia="zh-CN"/>
        </w:rPr>
        <w:t>新疆林业科学院</w:t>
      </w:r>
    </w:p>
    <w:p w14:paraId="23C0D7BD">
      <w:pPr>
        <w:spacing w:after="0" w:line="560" w:lineRule="exact"/>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EEF12F0">
      <w:pPr>
        <w:spacing w:after="0" w:line="560" w:lineRule="exact"/>
        <w:rPr>
          <w:lang w:eastAsia="zh-CN"/>
        </w:rPr>
      </w:pPr>
      <w:r>
        <w:rPr>
          <w:sz w:val="0"/>
          <w:szCs w:val="0"/>
          <w:lang w:eastAsia="zh-CN"/>
        </w:rPr>
        <w:br w:type="page"/>
      </w:r>
    </w:p>
    <w:p w14:paraId="6D3BC318">
      <w:pPr>
        <w:spacing w:after="0" w:line="560" w:lineRule="exact"/>
        <w:jc w:val="center"/>
        <w:rPr>
          <w:rFonts w:ascii="黑体" w:eastAsia="黑体"/>
          <w:sz w:val="32"/>
          <w:szCs w:val="32"/>
          <w:lang w:eastAsia="zh-CN"/>
        </w:rPr>
      </w:pPr>
      <w:r>
        <w:rPr>
          <w:rFonts w:ascii="黑体" w:eastAsia="黑体"/>
          <w:b/>
          <w:sz w:val="32"/>
          <w:szCs w:val="32"/>
          <w:lang w:eastAsia="zh-CN"/>
        </w:rPr>
        <w:t>目  录</w:t>
      </w:r>
    </w:p>
    <w:p w14:paraId="6120D694">
      <w:pPr>
        <w:spacing w:after="0" w:line="560" w:lineRule="exact"/>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单位概况</w:t>
      </w:r>
    </w:p>
    <w:p w14:paraId="5A4FE388">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14:paraId="63C0FDC6">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二、机构设置及人员情况</w:t>
      </w:r>
    </w:p>
    <w:p w14:paraId="4741A7F4">
      <w:pPr>
        <w:spacing w:after="0" w:line="560" w:lineRule="exact"/>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153204C">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9B85FE4">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14:paraId="393DF735">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14:paraId="4A6492B7">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3FA8F76">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32C4442">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9170A7">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F273168">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47C7FAD">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BEEE4B6">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B231DD0">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E31C49F">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w:t>
      </w:r>
      <w:r>
        <w:rPr>
          <w:rFonts w:hint="eastAsia" w:ascii="仿宋_GB2312" w:eastAsia="仿宋_GB2312"/>
          <w:sz w:val="32"/>
          <w:szCs w:val="32"/>
          <w:lang w:eastAsia="zh-CN"/>
        </w:rPr>
        <w:t>“三公”</w:t>
      </w:r>
      <w:r>
        <w:rPr>
          <w:rFonts w:ascii="仿宋_GB2312" w:eastAsia="仿宋_GB2312"/>
          <w:sz w:val="32"/>
          <w:szCs w:val="32"/>
          <w:lang w:eastAsia="zh-CN"/>
        </w:rPr>
        <w:t>经费支出决算情况说明</w:t>
      </w:r>
    </w:p>
    <w:p w14:paraId="774299A8">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14:paraId="57BBD660">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0894304">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14:paraId="05535E5A">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14:paraId="3856DEC4">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14:paraId="2A47B89E">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14:paraId="31DB8715">
      <w:pPr>
        <w:spacing w:after="0" w:line="560" w:lineRule="exact"/>
        <w:rPr>
          <w:rFonts w:ascii="仿宋_GB2312" w:eastAsia="仿宋_GB2312"/>
          <w:sz w:val="32"/>
          <w:szCs w:val="32"/>
          <w:lang w:eastAsia="zh-CN"/>
        </w:rPr>
      </w:pPr>
      <w:r>
        <w:rPr>
          <w:rFonts w:ascii="仿宋_GB2312" w:eastAsia="仿宋_GB2312"/>
          <w:b/>
          <w:sz w:val="32"/>
          <w:szCs w:val="32"/>
          <w:lang w:eastAsia="zh-CN"/>
        </w:rPr>
        <w:t>第三部分 专业名词解释</w:t>
      </w:r>
    </w:p>
    <w:p w14:paraId="37920A4B">
      <w:pPr>
        <w:spacing w:after="0" w:line="560" w:lineRule="exact"/>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AC8B220">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14:paraId="71B94D2C">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14:paraId="6D86AB3F">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14:paraId="5C251A09">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21740DD">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FC32337">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0DD0A8F">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D633FC0">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7BBC15B">
      <w:pPr>
        <w:spacing w:after="0" w:line="560" w:lineRule="exact"/>
        <w:rPr>
          <w:rFonts w:ascii="仿宋_GB2312" w:eastAsia="仿宋_GB2312"/>
          <w:sz w:val="32"/>
          <w:szCs w:val="32"/>
          <w:lang w:eastAsia="zh-CN"/>
        </w:rPr>
      </w:pPr>
      <w:r>
        <w:rPr>
          <w:rFonts w:ascii="仿宋_GB2312" w:eastAsia="仿宋_GB2312"/>
          <w:sz w:val="32"/>
          <w:szCs w:val="32"/>
          <w:lang w:eastAsia="zh-CN"/>
        </w:rPr>
        <w:t>九、《财政拨</w:t>
      </w:r>
      <w:r>
        <w:rPr>
          <w:rFonts w:hint="eastAsia" w:ascii="仿宋_GB2312" w:hAnsi="仿宋_GB2312" w:eastAsia="仿宋_GB2312" w:cs="仿宋_GB2312"/>
          <w:sz w:val="32"/>
          <w:szCs w:val="32"/>
          <w:lang w:eastAsia="zh-CN"/>
        </w:rPr>
        <w:t>款“三公”经</w:t>
      </w:r>
      <w:r>
        <w:rPr>
          <w:rFonts w:ascii="仿宋_GB2312" w:eastAsia="仿宋_GB2312"/>
          <w:sz w:val="32"/>
          <w:szCs w:val="32"/>
          <w:lang w:eastAsia="zh-CN"/>
        </w:rPr>
        <w:t>费支出决算表》</w:t>
      </w:r>
    </w:p>
    <w:p w14:paraId="41C5D85A">
      <w:pPr>
        <w:spacing w:after="0" w:line="560" w:lineRule="exact"/>
        <w:rPr>
          <w:lang w:eastAsia="zh-CN"/>
        </w:rPr>
      </w:pPr>
      <w:r>
        <w:rPr>
          <w:sz w:val="0"/>
          <w:szCs w:val="0"/>
          <w:lang w:eastAsia="zh-CN"/>
        </w:rPr>
        <w:br w:type="page"/>
      </w:r>
    </w:p>
    <w:p w14:paraId="6A0DD64A">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 单位概况</w:t>
      </w:r>
    </w:p>
    <w:p w14:paraId="1B5EB6BE">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33277E7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承担国家、国家林业局和自治区的林业科学研究、推广、开发任务。2、开展自治区干旱、半干旱和荒漠化防护林体系建设及绿洲生态的研究。3、开展自治区森林资源保护与生态环境建设，天然林保护，退耕还林的研究工作。4、承担适合自治区生长的林果业技术研究工作。5、承担自治区城市绿化、荒山绿化规划施工的研究推广，观赏园林园艺的景观设计研究工作。6、承担现代林业理论，技术等研究工作</w:t>
      </w:r>
      <w:r>
        <w:rPr>
          <w:rFonts w:hint="eastAsia" w:ascii="仿宋_GB2312" w:eastAsia="仿宋_GB2312"/>
          <w:sz w:val="32"/>
          <w:szCs w:val="32"/>
          <w:lang w:eastAsia="zh-CN"/>
        </w:rPr>
        <w:t>。</w:t>
      </w:r>
      <w:r>
        <w:rPr>
          <w:rFonts w:ascii="仿宋_GB2312" w:eastAsia="仿宋_GB2312"/>
          <w:sz w:val="32"/>
          <w:szCs w:val="32"/>
          <w:lang w:eastAsia="zh-CN"/>
        </w:rPr>
        <w:t>7、组织实施以林业为主题的科技扶贫、科技下乡、技术咨询、科技示范园建设等工作。</w:t>
      </w:r>
    </w:p>
    <w:p w14:paraId="3FFEF8A0">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7EA0AC1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新疆林业科学院2024年度，实有人数209人，其中：在职人员50人，较上年无变化；离休人员2人，较上年无变化；退休人员157人，减少3人。</w:t>
      </w:r>
    </w:p>
    <w:p w14:paraId="5E3479B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新疆林业科学院无下属预算单位，下设6个处室，分别是：办公室（党委办公室）、组织人事处、计划财务处、科研管理处、科技推广处、监察室（与纪检委合署办公）。</w:t>
      </w:r>
    </w:p>
    <w:p w14:paraId="280B80C2">
      <w:pPr>
        <w:spacing w:after="0" w:line="560" w:lineRule="exact"/>
        <w:rPr>
          <w:lang w:eastAsia="zh-CN"/>
        </w:rPr>
      </w:pPr>
      <w:r>
        <w:rPr>
          <w:sz w:val="0"/>
          <w:szCs w:val="0"/>
          <w:lang w:eastAsia="zh-CN"/>
        </w:rPr>
        <w:br w:type="page"/>
      </w:r>
    </w:p>
    <w:p w14:paraId="57F920E3">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46BCEF7E">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63C9C758">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2024年度收入总计9,370.01万元，</w:t>
      </w:r>
      <w:r>
        <w:rPr>
          <w:rFonts w:ascii="仿宋_GB2312" w:eastAsia="仿宋_GB2312"/>
          <w:sz w:val="32"/>
          <w:szCs w:val="32"/>
          <w:lang w:eastAsia="zh-CN"/>
        </w:rPr>
        <w:t>其中：本年收入合计8,615.61万元，使用非财政拨款结余（含专用结余）0.00万元，年初结转和结余754.40万元。</w:t>
      </w:r>
    </w:p>
    <w:p w14:paraId="14117E55">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2024年度支出总计9,370.01万元，</w:t>
      </w:r>
      <w:r>
        <w:rPr>
          <w:rFonts w:ascii="仿宋_GB2312" w:eastAsia="仿宋_GB2312"/>
          <w:sz w:val="32"/>
          <w:szCs w:val="32"/>
          <w:lang w:eastAsia="zh-CN"/>
        </w:rPr>
        <w:t>其中：本年支出合计6,405.71万元，结余分配0.00万元，年末结转和结余2,964.30万元。</w:t>
      </w:r>
    </w:p>
    <w:p w14:paraId="285A6A3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收入支出总体与上年相比，</w:t>
      </w:r>
      <w:r>
        <w:rPr>
          <w:rFonts w:ascii="仿宋_GB2312" w:eastAsia="仿宋_GB2312"/>
          <w:sz w:val="32"/>
          <w:szCs w:val="32"/>
          <w:lang w:eastAsia="zh-CN"/>
        </w:rPr>
        <w:t>增加5,495.41万元，增长141.83%，主要原因是：</w:t>
      </w:r>
      <w:r>
        <w:rPr>
          <w:rFonts w:hint="eastAsia" w:ascii="仿宋_GB2312" w:eastAsia="仿宋_GB2312"/>
          <w:sz w:val="32"/>
          <w:szCs w:val="32"/>
          <w:lang w:eastAsia="zh-CN"/>
        </w:rPr>
        <w:t>一是</w:t>
      </w:r>
      <w:r>
        <w:rPr>
          <w:rFonts w:ascii="仿宋_GB2312" w:eastAsia="仿宋_GB2312"/>
          <w:sz w:val="32"/>
          <w:szCs w:val="32"/>
          <w:lang w:eastAsia="zh-CN"/>
        </w:rPr>
        <w:t>因工资</w:t>
      </w:r>
      <w:r>
        <w:rPr>
          <w:rFonts w:hint="eastAsia" w:ascii="仿宋_GB2312" w:eastAsia="仿宋_GB2312"/>
          <w:sz w:val="32"/>
          <w:szCs w:val="32"/>
          <w:lang w:val="en-US" w:eastAsia="zh-CN"/>
        </w:rPr>
        <w:t>调整</w:t>
      </w:r>
      <w:r>
        <w:rPr>
          <w:rFonts w:ascii="仿宋_GB2312" w:eastAsia="仿宋_GB2312"/>
          <w:sz w:val="32"/>
          <w:szCs w:val="32"/>
          <w:lang w:eastAsia="zh-CN"/>
        </w:rPr>
        <w:t>、社保基数上涨，人员经费较上年增加；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追加财政拨款和横向课题</w:t>
      </w:r>
      <w:r>
        <w:rPr>
          <w:rFonts w:hint="eastAsia" w:ascii="仿宋_GB2312" w:eastAsia="仿宋_GB2312"/>
          <w:sz w:val="32"/>
          <w:szCs w:val="32"/>
          <w:lang w:eastAsia="zh-CN"/>
        </w:rPr>
        <w:t>、</w:t>
      </w:r>
      <w:r>
        <w:rPr>
          <w:rFonts w:ascii="仿宋_GB2312" w:eastAsia="仿宋_GB2312"/>
          <w:sz w:val="32"/>
          <w:szCs w:val="32"/>
          <w:lang w:eastAsia="zh-CN"/>
        </w:rPr>
        <w:t>重点研发</w:t>
      </w:r>
      <w:r>
        <w:rPr>
          <w:rFonts w:hint="eastAsia" w:ascii="仿宋_GB2312" w:eastAsia="仿宋_GB2312"/>
          <w:sz w:val="32"/>
          <w:szCs w:val="32"/>
          <w:lang w:eastAsia="zh-CN"/>
        </w:rPr>
        <w:t>等项目，</w:t>
      </w:r>
      <w:r>
        <w:rPr>
          <w:rFonts w:hint="eastAsia" w:ascii="仿宋_GB2312" w:eastAsia="仿宋_GB2312"/>
          <w:sz w:val="32"/>
          <w:szCs w:val="32"/>
          <w:lang w:val="en-US" w:eastAsia="zh-CN"/>
        </w:rPr>
        <w:t>经费较</w:t>
      </w:r>
      <w:r>
        <w:rPr>
          <w:rFonts w:ascii="仿宋_GB2312" w:eastAsia="仿宋_GB2312"/>
          <w:sz w:val="32"/>
          <w:szCs w:val="32"/>
          <w:lang w:eastAsia="zh-CN"/>
        </w:rPr>
        <w:t>上年增加。</w:t>
      </w:r>
    </w:p>
    <w:p w14:paraId="2355D947">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5C0E3BA">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本年收入8,615.61万元，</w:t>
      </w:r>
      <w:r>
        <w:rPr>
          <w:rFonts w:ascii="仿宋_GB2312" w:eastAsia="仿宋_GB2312"/>
          <w:sz w:val="32"/>
          <w:szCs w:val="32"/>
          <w:lang w:eastAsia="zh-CN"/>
        </w:rPr>
        <w:t>其中：财政拨款收入4,854.01万元,占56.34%；上级补助收入0.00万元,占0.00%；事业收入3,755.97万元，占43.59%；经营收入0.00万元,占0.00%；附属单位上缴收入0.00万元，占0.00%；其他收入5.63万元，占0.07%。</w:t>
      </w:r>
    </w:p>
    <w:p w14:paraId="34C6593E">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3B72C95D">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本年支出6,405.71万元，</w:t>
      </w:r>
      <w:r>
        <w:rPr>
          <w:rFonts w:ascii="仿宋_GB2312" w:eastAsia="仿宋_GB2312"/>
          <w:sz w:val="32"/>
          <w:szCs w:val="32"/>
          <w:lang w:eastAsia="zh-CN"/>
        </w:rPr>
        <w:t>其中：基本支出1,825.91万元，占28.50%；项目支出4,579.80万元，占71.50%；上缴上级支出0.00万元，占0.00%；经营支出0.00万元，占0.00%；对附属单位补助支出0.00万元，占0.00%。</w:t>
      </w:r>
    </w:p>
    <w:p w14:paraId="2E4ABCB4">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8C50BE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2024年度财政拨款收入总计4,861.90万元，</w:t>
      </w:r>
      <w:r>
        <w:rPr>
          <w:rFonts w:ascii="仿宋_GB2312" w:eastAsia="仿宋_GB2312"/>
          <w:sz w:val="32"/>
          <w:szCs w:val="32"/>
          <w:lang w:eastAsia="zh-CN"/>
        </w:rPr>
        <w:t>其中：年初财政拨款结转和结余7.89万元，本年财政拨款收入4,854.01万元。</w:t>
      </w:r>
      <w:r>
        <w:rPr>
          <w:rFonts w:ascii="仿宋_GB2312" w:eastAsia="仿宋_GB2312"/>
          <w:b/>
          <w:bCs/>
          <w:sz w:val="32"/>
          <w:szCs w:val="32"/>
          <w:lang w:eastAsia="zh-CN"/>
        </w:rPr>
        <w:t>财政拨款支出总计4,861.90万元，</w:t>
      </w:r>
      <w:r>
        <w:rPr>
          <w:rFonts w:ascii="仿宋_GB2312" w:eastAsia="仿宋_GB2312"/>
          <w:sz w:val="32"/>
          <w:szCs w:val="32"/>
          <w:lang w:eastAsia="zh-CN"/>
        </w:rPr>
        <w:t>其中：年末财政拨款结转和结余0.00万元，本年财政拨款支出4,861.90万元。</w:t>
      </w:r>
    </w:p>
    <w:p w14:paraId="228ED6AF">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财政拨款收入支出总体与上年相比，</w:t>
      </w:r>
      <w:r>
        <w:rPr>
          <w:rFonts w:ascii="仿宋_GB2312" w:eastAsia="仿宋_GB2312"/>
          <w:sz w:val="32"/>
          <w:szCs w:val="32"/>
          <w:lang w:eastAsia="zh-CN"/>
        </w:rPr>
        <w:t>增加2,309.02万元，增长90.45%，主要原因是：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w:t>
      </w:r>
      <w:r>
        <w:rPr>
          <w:rFonts w:hint="eastAsia" w:ascii="仿宋_GB2312" w:eastAsia="仿宋_GB2312"/>
          <w:sz w:val="32"/>
          <w:szCs w:val="32"/>
          <w:lang w:eastAsia="zh-CN"/>
        </w:rPr>
        <w:t>重点研发</w:t>
      </w:r>
      <w:r>
        <w:rPr>
          <w:rFonts w:ascii="仿宋_GB2312" w:eastAsia="仿宋_GB2312"/>
          <w:sz w:val="32"/>
          <w:szCs w:val="32"/>
          <w:lang w:eastAsia="zh-CN"/>
        </w:rPr>
        <w:t>项目</w:t>
      </w:r>
      <w:r>
        <w:rPr>
          <w:rFonts w:hint="eastAsia" w:ascii="仿宋_GB2312" w:eastAsia="仿宋_GB2312"/>
          <w:sz w:val="32"/>
          <w:szCs w:val="32"/>
          <w:lang w:eastAsia="zh-CN"/>
        </w:rPr>
        <w:t>，因此项目经费上涨</w:t>
      </w:r>
      <w:r>
        <w:rPr>
          <w:rFonts w:ascii="仿宋_GB2312" w:eastAsia="仿宋_GB2312"/>
          <w:sz w:val="32"/>
          <w:szCs w:val="32"/>
          <w:lang w:eastAsia="zh-CN"/>
        </w:rPr>
        <w:t>。</w:t>
      </w:r>
      <w:r>
        <w:rPr>
          <w:rFonts w:ascii="仿宋_GB2312" w:eastAsia="仿宋_GB2312"/>
          <w:b/>
          <w:bCs/>
          <w:sz w:val="32"/>
          <w:szCs w:val="32"/>
          <w:lang w:eastAsia="zh-CN"/>
        </w:rPr>
        <w:t>与年初预算相比，</w:t>
      </w:r>
      <w:r>
        <w:rPr>
          <w:rFonts w:ascii="仿宋_GB2312" w:eastAsia="仿宋_GB2312"/>
          <w:sz w:val="32"/>
          <w:szCs w:val="32"/>
          <w:lang w:eastAsia="zh-CN"/>
        </w:rPr>
        <w:t>年初预算数4,287.75万元，决算数4,861.90万元，预决算差异率13.39%，主要原因是：在预算执行中</w:t>
      </w:r>
      <w:r>
        <w:rPr>
          <w:rFonts w:hint="eastAsia" w:ascii="仿宋_GB2312" w:eastAsia="仿宋_GB2312"/>
          <w:sz w:val="32"/>
          <w:szCs w:val="32"/>
          <w:lang w:val="en-US" w:eastAsia="zh-CN"/>
        </w:rPr>
        <w:t>追加</w:t>
      </w:r>
      <w:r>
        <w:rPr>
          <w:rFonts w:ascii="仿宋_GB2312" w:eastAsia="仿宋_GB2312"/>
          <w:sz w:val="32"/>
          <w:szCs w:val="32"/>
          <w:lang w:eastAsia="zh-CN"/>
        </w:rPr>
        <w:t>年度考核奖、调增基本工资、职业年金</w:t>
      </w:r>
      <w:r>
        <w:rPr>
          <w:rFonts w:hint="eastAsia" w:ascii="仿宋_GB2312" w:eastAsia="仿宋_GB2312"/>
          <w:sz w:val="32"/>
          <w:szCs w:val="32"/>
          <w:lang w:eastAsia="zh-CN"/>
        </w:rPr>
        <w:t>、丧葬费抚恤金</w:t>
      </w:r>
      <w:r>
        <w:rPr>
          <w:rFonts w:ascii="仿宋_GB2312" w:eastAsia="仿宋_GB2312"/>
          <w:sz w:val="32"/>
          <w:szCs w:val="32"/>
          <w:lang w:eastAsia="zh-CN"/>
        </w:rPr>
        <w:t>等项目。</w:t>
      </w:r>
    </w:p>
    <w:p w14:paraId="3204418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FF34A9C">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（一）一般公共预算财政拨款支出决算总体情况</w:t>
      </w:r>
    </w:p>
    <w:p w14:paraId="1FD71989">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2024年度一般公共预算财政拨款支出4,861.90万元，</w:t>
      </w:r>
      <w:r>
        <w:rPr>
          <w:rFonts w:ascii="仿宋_GB2312" w:eastAsia="仿宋_GB2312"/>
          <w:sz w:val="32"/>
          <w:szCs w:val="32"/>
          <w:lang w:eastAsia="zh-CN"/>
        </w:rPr>
        <w:t>占本年支出合计的75.90%。</w:t>
      </w:r>
      <w:r>
        <w:rPr>
          <w:rFonts w:ascii="仿宋_GB2312" w:eastAsia="仿宋_GB2312"/>
          <w:b/>
          <w:bCs/>
          <w:sz w:val="32"/>
          <w:szCs w:val="32"/>
          <w:lang w:eastAsia="zh-CN"/>
        </w:rPr>
        <w:t>与上年相比，</w:t>
      </w:r>
      <w:r>
        <w:rPr>
          <w:rFonts w:ascii="仿宋_GB2312" w:eastAsia="仿宋_GB2312"/>
          <w:sz w:val="32"/>
          <w:szCs w:val="32"/>
          <w:lang w:eastAsia="zh-CN"/>
        </w:rPr>
        <w:t>增加2,316.91万元，增长91.04%，主要原因是：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w:t>
      </w:r>
      <w:r>
        <w:rPr>
          <w:rFonts w:hint="eastAsia" w:ascii="仿宋_GB2312" w:eastAsia="仿宋_GB2312"/>
          <w:sz w:val="32"/>
          <w:szCs w:val="32"/>
          <w:lang w:eastAsia="zh-CN"/>
        </w:rPr>
        <w:t>重点研发</w:t>
      </w:r>
      <w:r>
        <w:rPr>
          <w:rFonts w:ascii="仿宋_GB2312" w:eastAsia="仿宋_GB2312"/>
          <w:sz w:val="32"/>
          <w:szCs w:val="32"/>
          <w:lang w:eastAsia="zh-CN"/>
        </w:rPr>
        <w:t>项目</w:t>
      </w:r>
      <w:r>
        <w:rPr>
          <w:rFonts w:hint="eastAsia" w:ascii="仿宋_GB2312" w:eastAsia="仿宋_GB2312"/>
          <w:sz w:val="32"/>
          <w:szCs w:val="32"/>
          <w:lang w:eastAsia="zh-CN"/>
        </w:rPr>
        <w:t>，因此项目经费上涨</w:t>
      </w:r>
      <w:r>
        <w:rPr>
          <w:rFonts w:ascii="仿宋_GB2312" w:eastAsia="仿宋_GB2312"/>
          <w:sz w:val="32"/>
          <w:szCs w:val="32"/>
          <w:lang w:eastAsia="zh-CN"/>
        </w:rPr>
        <w:t>。</w:t>
      </w:r>
      <w:r>
        <w:rPr>
          <w:rFonts w:ascii="仿宋_GB2312" w:eastAsia="仿宋_GB2312"/>
          <w:b/>
          <w:bCs/>
          <w:sz w:val="32"/>
          <w:szCs w:val="32"/>
          <w:lang w:eastAsia="zh-CN"/>
        </w:rPr>
        <w:t>与年初预算相比，</w:t>
      </w:r>
      <w:r>
        <w:rPr>
          <w:rFonts w:ascii="仿宋_GB2312" w:eastAsia="仿宋_GB2312"/>
          <w:sz w:val="32"/>
          <w:szCs w:val="32"/>
          <w:lang w:eastAsia="zh-CN"/>
        </w:rPr>
        <w:t>年初预算数4,287.75万元，决算数4,861.90万元，预决算差异率13.39%，主要原因是：在预算执行中</w:t>
      </w:r>
      <w:r>
        <w:rPr>
          <w:rFonts w:hint="eastAsia" w:ascii="仿宋_GB2312" w:eastAsia="仿宋_GB2312"/>
          <w:sz w:val="32"/>
          <w:szCs w:val="32"/>
          <w:lang w:val="en-US" w:eastAsia="zh-CN"/>
        </w:rPr>
        <w:t>追加</w:t>
      </w:r>
      <w:r>
        <w:rPr>
          <w:rFonts w:ascii="仿宋_GB2312" w:eastAsia="仿宋_GB2312"/>
          <w:sz w:val="32"/>
          <w:szCs w:val="32"/>
          <w:lang w:eastAsia="zh-CN"/>
        </w:rPr>
        <w:t>年度考核奖、调增基本工资、职业年金</w:t>
      </w:r>
      <w:r>
        <w:rPr>
          <w:rFonts w:hint="eastAsia" w:ascii="仿宋_GB2312" w:eastAsia="仿宋_GB2312"/>
          <w:sz w:val="32"/>
          <w:szCs w:val="32"/>
          <w:lang w:eastAsia="zh-CN"/>
        </w:rPr>
        <w:t>、丧葬费抚恤金</w:t>
      </w:r>
      <w:r>
        <w:rPr>
          <w:rFonts w:ascii="仿宋_GB2312" w:eastAsia="仿宋_GB2312"/>
          <w:sz w:val="32"/>
          <w:szCs w:val="32"/>
          <w:lang w:eastAsia="zh-CN"/>
        </w:rPr>
        <w:t>等支出。</w:t>
      </w:r>
    </w:p>
    <w:p w14:paraId="67B4B052">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（二）一般公共预算财政拨款支出决算结构情况</w:t>
      </w:r>
    </w:p>
    <w:p w14:paraId="512BDDC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科学技术支出（类）2,048.71万元，占42.14%。</w:t>
      </w:r>
    </w:p>
    <w:p w14:paraId="511F030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社会保障和就业支出（类）75.00万元，占1.54%。</w:t>
      </w:r>
    </w:p>
    <w:p w14:paraId="2FAA844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农林水支出（类）2,738.20万元，占56.32%。</w:t>
      </w:r>
    </w:p>
    <w:p w14:paraId="6E51CDB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（三）一般公共预算财政拨款支出决算具体情况</w:t>
      </w:r>
    </w:p>
    <w:p w14:paraId="2A19992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1、科学技术支出（类）基础研究（款）科技人才队伍建设（项）：支出决算数为114.28万元，比上年决算增加62.17万元，增长119.31%，主要原因是：</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年度新增科研创新平台人才团队支持计划项目</w:t>
      </w:r>
      <w:r>
        <w:rPr>
          <w:rFonts w:ascii="仿宋_GB2312" w:eastAsia="仿宋_GB2312"/>
          <w:sz w:val="32"/>
          <w:szCs w:val="32"/>
          <w:lang w:eastAsia="zh-CN"/>
        </w:rPr>
        <w:t>，相应经费增加，因此支出决算数比上年决算增加。</w:t>
      </w:r>
    </w:p>
    <w:p w14:paraId="1EB3D965">
      <w:pPr>
        <w:spacing w:after="0" w:line="560" w:lineRule="exact"/>
        <w:ind w:firstLine="640" w:firstLineChars="200"/>
        <w:jc w:val="both"/>
        <w:rPr>
          <w:rFonts w:hint="eastAsia" w:ascii="仿宋_GB2312" w:eastAsia="仿宋_GB2312"/>
          <w:sz w:val="32"/>
          <w:szCs w:val="32"/>
          <w:lang w:val="en-US" w:eastAsia="zh-CN"/>
        </w:rPr>
      </w:pPr>
      <w:r>
        <w:rPr>
          <w:rFonts w:ascii="仿宋_GB2312" w:eastAsia="仿宋_GB2312"/>
          <w:sz w:val="32"/>
          <w:szCs w:val="32"/>
          <w:lang w:eastAsia="zh-CN"/>
        </w:rPr>
        <w:t>2、科学技术支出（类）应用研究（款）机构运行（项）：支出决算数为1,820.28万元，比上年决算减少138.02万元，下降7.05%，主要原因是：</w:t>
      </w:r>
      <w:r>
        <w:rPr>
          <w:rFonts w:hint="eastAsia" w:ascii="仿宋_GB2312" w:eastAsia="仿宋_GB2312"/>
          <w:sz w:val="32"/>
          <w:szCs w:val="32"/>
          <w:lang w:eastAsia="zh-CN"/>
        </w:rPr>
        <w:t>一是退休人员减少</w:t>
      </w:r>
      <w:r>
        <w:rPr>
          <w:rFonts w:hint="default" w:ascii="仿宋_GB2312" w:eastAsia="仿宋_GB2312"/>
          <w:sz w:val="32"/>
          <w:szCs w:val="32"/>
          <w:lang w:val="en-US" w:eastAsia="zh-CN"/>
        </w:rPr>
        <w:t>3</w:t>
      </w:r>
      <w:r>
        <w:rPr>
          <w:rFonts w:hint="eastAsia" w:ascii="仿宋_GB2312" w:eastAsia="仿宋_GB2312"/>
          <w:sz w:val="32"/>
          <w:szCs w:val="32"/>
          <w:lang w:val="en-US" w:eastAsia="zh-CN"/>
        </w:rPr>
        <w:t>人，导致相应经费减少；二是</w:t>
      </w:r>
      <w:r>
        <w:rPr>
          <w:rFonts w:ascii="仿宋_GB2312" w:eastAsia="仿宋_GB2312"/>
          <w:b w:val="0"/>
          <w:sz w:val="32"/>
          <w:szCs w:val="32"/>
        </w:rPr>
        <w:t>本单位为全额拨款事业单位，财政根据实际情况进行核定</w:t>
      </w:r>
      <w:r>
        <w:rPr>
          <w:rFonts w:hint="eastAsia" w:ascii="仿宋_GB2312" w:eastAsia="仿宋_GB2312"/>
          <w:b w:val="0"/>
          <w:sz w:val="32"/>
          <w:szCs w:val="32"/>
          <w:lang w:eastAsia="zh-CN"/>
        </w:rPr>
        <w:t>的</w:t>
      </w:r>
      <w:r>
        <w:rPr>
          <w:rFonts w:hint="eastAsia" w:ascii="仿宋_GB2312" w:eastAsia="仿宋_GB2312"/>
          <w:b w:val="0"/>
          <w:sz w:val="32"/>
          <w:szCs w:val="32"/>
          <w:lang w:val="en-US" w:eastAsia="zh-CN"/>
        </w:rPr>
        <w:t>在职人员经费有所减少，因此支出减少</w:t>
      </w:r>
      <w:r>
        <w:rPr>
          <w:rFonts w:hint="eastAsia" w:ascii="仿宋_GB2312" w:eastAsia="仿宋_GB2312"/>
          <w:b w:val="0"/>
          <w:sz w:val="32"/>
          <w:szCs w:val="32"/>
          <w:lang w:eastAsia="zh-CN"/>
        </w:rPr>
        <w:t>。</w:t>
      </w:r>
    </w:p>
    <w:p w14:paraId="0C12128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3、科学技术支出（类）应用研究（款）社会公益研究（项）：支出决算数为100.00万元，与上年相比无变化，主要原因是：</w:t>
      </w:r>
      <w:r>
        <w:rPr>
          <w:rFonts w:hint="default" w:ascii="仿宋_GB2312" w:eastAsia="仿宋_GB2312"/>
          <w:sz w:val="32"/>
          <w:szCs w:val="32"/>
          <w:lang w:val="en-US" w:eastAsia="zh-CN"/>
        </w:rPr>
        <w:t>2023</w:t>
      </w:r>
      <w:r>
        <w:rPr>
          <w:rFonts w:hint="eastAsia" w:ascii="仿宋_GB2312" w:eastAsia="仿宋_GB2312"/>
          <w:sz w:val="32"/>
          <w:szCs w:val="32"/>
          <w:lang w:val="en-US" w:eastAsia="zh-CN"/>
        </w:rPr>
        <w:t>年度与</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年度承担</w:t>
      </w:r>
      <w:r>
        <w:rPr>
          <w:rFonts w:ascii="仿宋_GB2312" w:eastAsia="仿宋_GB2312"/>
          <w:sz w:val="32"/>
          <w:szCs w:val="32"/>
          <w:lang w:eastAsia="zh-CN"/>
        </w:rPr>
        <w:t>此项目金额</w:t>
      </w:r>
      <w:r>
        <w:rPr>
          <w:rFonts w:hint="eastAsia" w:ascii="仿宋_GB2312" w:eastAsia="仿宋_GB2312"/>
          <w:sz w:val="32"/>
          <w:szCs w:val="32"/>
          <w:lang w:val="en-US" w:eastAsia="zh-CN"/>
        </w:rPr>
        <w:t>一致</w:t>
      </w:r>
      <w:r>
        <w:rPr>
          <w:rFonts w:ascii="仿宋_GB2312" w:eastAsia="仿宋_GB2312"/>
          <w:sz w:val="32"/>
          <w:szCs w:val="32"/>
          <w:lang w:eastAsia="zh-CN"/>
        </w:rPr>
        <w:t>。</w:t>
      </w:r>
    </w:p>
    <w:p w14:paraId="2BC41F77">
      <w:pPr>
        <w:spacing w:after="0" w:line="560" w:lineRule="exact"/>
        <w:ind w:firstLine="640" w:firstLineChars="200"/>
        <w:jc w:val="both"/>
        <w:rPr>
          <w:rFonts w:ascii="仿宋_GB2312" w:eastAsia="仿宋_GB2312"/>
          <w:sz w:val="32"/>
          <w:szCs w:val="32"/>
          <w:highlight w:val="none"/>
          <w:lang w:eastAsia="zh-CN"/>
        </w:rPr>
      </w:pPr>
      <w:r>
        <w:rPr>
          <w:rFonts w:ascii="仿宋_GB2312" w:eastAsia="仿宋_GB2312"/>
          <w:sz w:val="32"/>
          <w:szCs w:val="32"/>
          <w:highlight w:val="none"/>
          <w:lang w:eastAsia="zh-CN"/>
        </w:rPr>
        <w:t>4、科学技术支出（类）科技条件与服务（款）其他科技条件与服务支出（项）：支出决算数为14.15万元，比上年决算增加8.06万元，增长132.35%，主要原因是：</w:t>
      </w:r>
      <w:r>
        <w:rPr>
          <w:rFonts w:hint="eastAsia" w:ascii="仿宋_GB2312" w:eastAsia="仿宋_GB2312"/>
          <w:sz w:val="32"/>
          <w:szCs w:val="32"/>
          <w:highlight w:val="none"/>
          <w:lang w:eastAsia="zh-CN"/>
        </w:rPr>
        <w:t>本年度新增第二批</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三区</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人才</w:t>
      </w:r>
      <w:r>
        <w:rPr>
          <w:rFonts w:hint="eastAsia" w:ascii="仿宋_GB2312" w:eastAsia="仿宋_GB2312"/>
          <w:b w:val="0"/>
          <w:sz w:val="32"/>
          <w:szCs w:val="32"/>
          <w:highlight w:val="none"/>
          <w:lang w:eastAsia="zh-CN"/>
        </w:rPr>
        <w:t>发展基金项目</w:t>
      </w:r>
      <w:r>
        <w:rPr>
          <w:rFonts w:ascii="仿宋_GB2312" w:eastAsia="仿宋_GB2312"/>
          <w:sz w:val="32"/>
          <w:szCs w:val="32"/>
          <w:highlight w:val="none"/>
          <w:lang w:eastAsia="zh-CN"/>
        </w:rPr>
        <w:t>，因此支出决算数比上年决算增加。</w:t>
      </w:r>
    </w:p>
    <w:p w14:paraId="4320D61B">
      <w:pPr>
        <w:spacing w:after="0" w:line="560" w:lineRule="exact"/>
        <w:ind w:firstLine="640" w:firstLineChars="200"/>
        <w:jc w:val="both"/>
        <w:rPr>
          <w:rFonts w:ascii="仿宋_GB2312" w:eastAsia="仿宋_GB2312"/>
          <w:sz w:val="32"/>
          <w:szCs w:val="32"/>
          <w:highlight w:val="yellow"/>
          <w:lang w:eastAsia="zh-CN"/>
        </w:rPr>
      </w:pPr>
      <w:r>
        <w:rPr>
          <w:rFonts w:ascii="仿宋_GB2312" w:eastAsia="仿宋_GB2312"/>
          <w:sz w:val="32"/>
          <w:szCs w:val="32"/>
          <w:highlight w:val="none"/>
          <w:lang w:eastAsia="zh-CN"/>
        </w:rPr>
        <w:t>5、社会保障和就业支出（类）人力资源和社会保障管理事务（款）其他人力资源和社会保障管理事务支出（项）：支出决算数为75.00万元，比上年决算增加75.00万元，增长100.00%，主要原因是：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新增天池英才项目，因此支出决算数比上年决算数增加</w:t>
      </w:r>
      <w:r>
        <w:rPr>
          <w:rFonts w:ascii="仿宋_GB2312" w:eastAsia="仿宋_GB2312"/>
          <w:color w:val="auto"/>
          <w:sz w:val="32"/>
          <w:szCs w:val="32"/>
          <w:highlight w:val="none"/>
          <w:lang w:eastAsia="zh-CN"/>
        </w:rPr>
        <w:t>。</w:t>
      </w:r>
    </w:p>
    <w:p w14:paraId="35CD7CB8">
      <w:pPr>
        <w:spacing w:after="0" w:line="560" w:lineRule="exact"/>
        <w:ind w:firstLine="640" w:firstLineChars="200"/>
        <w:jc w:val="both"/>
        <w:rPr>
          <w:rFonts w:ascii="仿宋_GB2312" w:eastAsia="仿宋_GB2312"/>
          <w:color w:val="auto"/>
          <w:sz w:val="32"/>
          <w:szCs w:val="32"/>
          <w:highlight w:val="none"/>
          <w:lang w:eastAsia="zh-CN"/>
        </w:rPr>
      </w:pPr>
      <w:r>
        <w:rPr>
          <w:rFonts w:ascii="仿宋_GB2312" w:eastAsia="仿宋_GB2312"/>
          <w:color w:val="auto"/>
          <w:sz w:val="32"/>
          <w:szCs w:val="32"/>
          <w:highlight w:val="none"/>
          <w:lang w:eastAsia="zh-CN"/>
        </w:rPr>
        <w:t>6、农林水支出（类）农业农村（款）科技转化与推广服务（项）：支出决算数为150.00万元，比上年决算增加150.00万元，增长100.00%，主要原因是：本年</w:t>
      </w:r>
      <w:r>
        <w:rPr>
          <w:rFonts w:hint="eastAsia" w:ascii="仿宋_GB2312" w:eastAsia="仿宋_GB2312"/>
          <w:color w:val="auto"/>
          <w:sz w:val="32"/>
          <w:szCs w:val="32"/>
          <w:highlight w:val="none"/>
          <w:lang w:eastAsia="zh-CN"/>
        </w:rPr>
        <w:t>新增</w:t>
      </w:r>
      <w:r>
        <w:rPr>
          <w:rFonts w:ascii="仿宋_GB2312" w:eastAsia="仿宋_GB2312"/>
          <w:color w:val="auto"/>
          <w:sz w:val="32"/>
          <w:szCs w:val="32"/>
          <w:highlight w:val="none"/>
          <w:lang w:eastAsia="zh-CN"/>
        </w:rPr>
        <w:t>申报</w:t>
      </w:r>
      <w:r>
        <w:rPr>
          <w:rFonts w:hint="eastAsia" w:ascii="仿宋_GB2312" w:eastAsia="仿宋_GB2312"/>
          <w:color w:val="auto"/>
          <w:sz w:val="32"/>
          <w:szCs w:val="32"/>
          <w:highlight w:val="none"/>
          <w:lang w:eastAsia="zh-CN"/>
        </w:rPr>
        <w:t>特色林果良种繁育技术示范推广项目，因此支出决算数比上年决算数增加</w:t>
      </w:r>
      <w:r>
        <w:rPr>
          <w:rFonts w:ascii="仿宋_GB2312" w:eastAsia="仿宋_GB2312"/>
          <w:color w:val="auto"/>
          <w:sz w:val="32"/>
          <w:szCs w:val="32"/>
          <w:highlight w:val="none"/>
          <w:lang w:eastAsia="zh-CN"/>
        </w:rPr>
        <w:t>。</w:t>
      </w:r>
    </w:p>
    <w:p w14:paraId="675B75B5">
      <w:pPr>
        <w:spacing w:after="0" w:line="560" w:lineRule="exact"/>
        <w:ind w:firstLine="640" w:firstLineChars="200"/>
        <w:jc w:val="both"/>
        <w:rPr>
          <w:rFonts w:ascii="仿宋_GB2312" w:eastAsia="仿宋_GB2312"/>
          <w:sz w:val="32"/>
          <w:szCs w:val="32"/>
          <w:highlight w:val="none"/>
          <w:lang w:eastAsia="zh-CN"/>
        </w:rPr>
      </w:pPr>
      <w:r>
        <w:rPr>
          <w:rFonts w:ascii="仿宋_GB2312" w:eastAsia="仿宋_GB2312"/>
          <w:sz w:val="32"/>
          <w:szCs w:val="32"/>
          <w:highlight w:val="none"/>
          <w:lang w:eastAsia="zh-CN"/>
        </w:rPr>
        <w:t>7、农林水支出（类）林业和草原（款）森林资源培育（项）：支出决算数为60.00万元，比上年决算减少6.00万元，下降9.09%，主要原因是：</w:t>
      </w:r>
      <w:r>
        <w:rPr>
          <w:rFonts w:hint="eastAsia" w:ascii="仿宋_GB2312" w:eastAsia="仿宋_GB2312"/>
          <w:sz w:val="32"/>
          <w:szCs w:val="32"/>
          <w:highlight w:val="none"/>
          <w:lang w:eastAsia="zh-CN"/>
        </w:rPr>
        <w:t>本年度佳木试验站良种培育项目资金减少，</w:t>
      </w:r>
      <w:r>
        <w:rPr>
          <w:rFonts w:hint="eastAsia" w:ascii="仿宋_GB2312" w:eastAsia="仿宋_GB2312"/>
          <w:color w:val="auto"/>
          <w:sz w:val="32"/>
          <w:szCs w:val="32"/>
          <w:highlight w:val="none"/>
          <w:lang w:eastAsia="zh-CN"/>
        </w:rPr>
        <w:t>因此支出决算数比上年决算数减少</w:t>
      </w:r>
      <w:r>
        <w:rPr>
          <w:rFonts w:ascii="仿宋_GB2312" w:eastAsia="仿宋_GB2312"/>
          <w:sz w:val="32"/>
          <w:szCs w:val="32"/>
          <w:highlight w:val="none"/>
          <w:lang w:eastAsia="zh-CN"/>
        </w:rPr>
        <w:t>。</w:t>
      </w:r>
    </w:p>
    <w:p w14:paraId="139B2721">
      <w:pPr>
        <w:spacing w:after="0" w:line="560" w:lineRule="exact"/>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8、农林水支出（类）林业和草原（款）技术推广与转化（项）：支出决算数为204.20万元，比上年决算增加119.40万元，增长140.80%，主要原因是：本年</w:t>
      </w:r>
      <w:r>
        <w:rPr>
          <w:rFonts w:hint="eastAsia" w:ascii="仿宋_GB2312" w:eastAsia="仿宋_GB2312"/>
          <w:color w:val="auto"/>
          <w:sz w:val="32"/>
          <w:szCs w:val="32"/>
          <w:lang w:eastAsia="zh-CN"/>
        </w:rPr>
        <w:t>新增阿尔泰山定位站观测项目、博湖定位站观测项目、精河定位站观测项目、阿克苏佳木试验站观测项目</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lang w:eastAsia="zh-CN"/>
        </w:rPr>
        <w:t>，因此支出决算数比上年决算数增加</w:t>
      </w:r>
      <w:r>
        <w:rPr>
          <w:rFonts w:ascii="仿宋_GB2312" w:eastAsia="仿宋_GB2312"/>
          <w:color w:val="auto"/>
          <w:sz w:val="32"/>
          <w:szCs w:val="32"/>
          <w:lang w:eastAsia="zh-CN"/>
        </w:rPr>
        <w:t>。</w:t>
      </w:r>
    </w:p>
    <w:p w14:paraId="52FB05A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9、农林水支出（类）林业和草原（款）动植物保护（项）：支出决算数为0.00万元，比上年决算减少76.65万元，下降100.00%，主要原因是：本年未</w:t>
      </w:r>
      <w:r>
        <w:rPr>
          <w:rFonts w:hint="eastAsia" w:ascii="仿宋_GB2312" w:eastAsia="仿宋_GB2312"/>
          <w:sz w:val="32"/>
          <w:szCs w:val="32"/>
          <w:lang w:val="en-US" w:eastAsia="zh-CN"/>
        </w:rPr>
        <w:t>承担</w:t>
      </w:r>
      <w:r>
        <w:rPr>
          <w:rFonts w:hint="eastAsia" w:ascii="仿宋_GB2312" w:eastAsia="仿宋_GB2312"/>
          <w:sz w:val="32"/>
          <w:szCs w:val="32"/>
          <w:lang w:eastAsia="zh-CN"/>
        </w:rPr>
        <w:t>新疆昆仑山藏羚迁徙路线及迁徙廊道研究项目，因此支出决算数比上年决算减少</w:t>
      </w:r>
      <w:r>
        <w:rPr>
          <w:rFonts w:ascii="仿宋_GB2312" w:eastAsia="仿宋_GB2312"/>
          <w:sz w:val="32"/>
          <w:szCs w:val="32"/>
          <w:lang w:eastAsia="zh-CN"/>
        </w:rPr>
        <w:t>。</w:t>
      </w:r>
    </w:p>
    <w:p w14:paraId="54BFA37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10、农林水支出（类）林业和草原（款）执法与监督（项）：支出决算数为1,701.00万元，比上年决算增加1,701.00万元，增长100.00%，主要原因是：本年</w:t>
      </w:r>
      <w:r>
        <w:rPr>
          <w:rFonts w:hint="eastAsia" w:ascii="仿宋_GB2312" w:eastAsia="仿宋_GB2312"/>
          <w:sz w:val="32"/>
          <w:szCs w:val="32"/>
          <w:lang w:eastAsia="zh-CN"/>
        </w:rPr>
        <w:t>新增新疆林木资源与利用国家林业和草原局重点实验室平台建设项目，因此支出决算数比上年决算数增加</w:t>
      </w:r>
      <w:r>
        <w:rPr>
          <w:rFonts w:ascii="仿宋_GB2312" w:eastAsia="仿宋_GB2312"/>
          <w:sz w:val="32"/>
          <w:szCs w:val="32"/>
          <w:lang w:eastAsia="zh-CN"/>
        </w:rPr>
        <w:t>。</w:t>
      </w:r>
    </w:p>
    <w:p w14:paraId="39C9CD29">
      <w:pPr>
        <w:spacing w:after="0" w:line="560" w:lineRule="exact"/>
        <w:ind w:firstLine="640" w:firstLineChars="200"/>
        <w:jc w:val="both"/>
        <w:rPr>
          <w:rFonts w:ascii="仿宋_GB2312" w:eastAsia="仿宋_GB2312"/>
          <w:sz w:val="32"/>
          <w:szCs w:val="32"/>
          <w:highlight w:val="none"/>
          <w:lang w:eastAsia="zh-CN"/>
        </w:rPr>
      </w:pPr>
      <w:r>
        <w:rPr>
          <w:rFonts w:ascii="仿宋_GB2312" w:eastAsia="仿宋_GB2312"/>
          <w:sz w:val="32"/>
          <w:szCs w:val="32"/>
          <w:highlight w:val="none"/>
          <w:lang w:eastAsia="zh-CN"/>
        </w:rPr>
        <w:t>11、农林水支出（类）林业和草原（款）其他林业和草原支出（项）：支出决算数为623.00万元，比上年决算增加421.97万元，增长209.90%，主要原因是：本年</w:t>
      </w:r>
      <w:r>
        <w:rPr>
          <w:rFonts w:hint="eastAsia" w:ascii="仿宋_GB2312" w:eastAsia="仿宋_GB2312"/>
          <w:sz w:val="32"/>
          <w:szCs w:val="32"/>
          <w:highlight w:val="none"/>
          <w:lang w:eastAsia="zh-CN"/>
        </w:rPr>
        <w:t>新增自治区林业和草原提质增效项目，因此支出决算数比上年决算数增加</w:t>
      </w:r>
      <w:r>
        <w:rPr>
          <w:rFonts w:ascii="仿宋_GB2312" w:eastAsia="仿宋_GB2312"/>
          <w:sz w:val="32"/>
          <w:szCs w:val="32"/>
          <w:highlight w:val="none"/>
          <w:lang w:eastAsia="zh-CN"/>
        </w:rPr>
        <w:t>。</w:t>
      </w:r>
    </w:p>
    <w:p w14:paraId="51EA217C">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990C2D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2024年度一般公共预算财政拨款基本支出1,820.28万元，其中：</w:t>
      </w:r>
      <w:r>
        <w:rPr>
          <w:rFonts w:ascii="仿宋_GB2312" w:eastAsia="仿宋_GB2312"/>
          <w:b/>
          <w:bCs/>
          <w:sz w:val="32"/>
          <w:szCs w:val="32"/>
          <w:lang w:eastAsia="zh-CN"/>
        </w:rPr>
        <w:t>人员经费1,593.87万元，</w:t>
      </w:r>
      <w:r>
        <w:rPr>
          <w:rFonts w:ascii="仿宋_GB2312" w:eastAsia="仿宋_GB2312"/>
          <w:sz w:val="32"/>
          <w:szCs w:val="32"/>
          <w:lang w:eastAsia="zh-CN"/>
        </w:rPr>
        <w:t>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和其他对个人和家庭的补助。</w:t>
      </w:r>
    </w:p>
    <w:p w14:paraId="689C304D">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公用经费226.41万元，</w:t>
      </w:r>
      <w:r>
        <w:rPr>
          <w:rFonts w:ascii="仿宋_GB2312" w:eastAsia="仿宋_GB2312"/>
          <w:sz w:val="32"/>
          <w:szCs w:val="32"/>
          <w:lang w:eastAsia="zh-CN"/>
        </w:rPr>
        <w:t>包括：办公费、咨询费、手续费、水费、电费、邮电费、取暖费、物业管理费、差旅费、维修（护）费、公务接待费、专用材料费、委托业务费、工会经费、福利费、公务用车运行维护费、其他交通费用和其他商品和服务支出。</w:t>
      </w:r>
    </w:p>
    <w:p w14:paraId="128C6B0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BB92D0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CD75084">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C229C4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w:t>
      </w:r>
      <w:r>
        <w:rPr>
          <w:rFonts w:ascii="仿宋_GB2312" w:eastAsia="仿宋_GB2312"/>
          <w:sz w:val="30"/>
          <w:szCs w:val="30"/>
          <w:lang w:eastAsia="zh-CN"/>
        </w:rPr>
        <w:t>，</w:t>
      </w:r>
      <w:r>
        <w:rPr>
          <w:rFonts w:ascii="仿宋_GB2312" w:eastAsia="仿宋_GB2312"/>
          <w:sz w:val="32"/>
          <w:szCs w:val="32"/>
          <w:lang w:eastAsia="zh-CN"/>
        </w:rPr>
        <w:t>国有资本经营预算财政拨款收入支出决算表为空表。</w:t>
      </w:r>
    </w:p>
    <w:p w14:paraId="1FDC84B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九、财政拨</w:t>
      </w:r>
      <w:r>
        <w:rPr>
          <w:rFonts w:hint="eastAsia" w:ascii="黑体" w:hAnsi="黑体" w:eastAsia="黑体" w:cs="黑体"/>
          <w:sz w:val="32"/>
          <w:szCs w:val="32"/>
          <w:lang w:eastAsia="zh-CN"/>
        </w:rPr>
        <w:t>款“三公”经费</w:t>
      </w:r>
      <w:r>
        <w:rPr>
          <w:rFonts w:ascii="黑体" w:eastAsia="黑体"/>
          <w:sz w:val="32"/>
          <w:szCs w:val="32"/>
          <w:lang w:eastAsia="zh-CN"/>
        </w:rPr>
        <w:t>支出决算情况说明</w:t>
      </w:r>
    </w:p>
    <w:p w14:paraId="3DFD00D6">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2024年度财政拨款</w:t>
      </w:r>
      <w:r>
        <w:rPr>
          <w:rFonts w:hint="eastAsia" w:ascii="仿宋_GB2312" w:eastAsia="仿宋_GB2312"/>
          <w:b/>
          <w:bCs/>
          <w:sz w:val="32"/>
          <w:szCs w:val="32"/>
          <w:lang w:eastAsia="zh-CN"/>
        </w:rPr>
        <w:t>“三公”</w:t>
      </w:r>
      <w:r>
        <w:rPr>
          <w:rFonts w:ascii="仿宋_GB2312" w:eastAsia="仿宋_GB2312"/>
          <w:b/>
          <w:bCs/>
          <w:sz w:val="32"/>
          <w:szCs w:val="32"/>
          <w:lang w:eastAsia="zh-CN"/>
        </w:rPr>
        <w:t>经费支出5.23万元，</w:t>
      </w:r>
      <w:r>
        <w:rPr>
          <w:rFonts w:ascii="仿宋_GB2312" w:eastAsia="仿宋_GB2312"/>
          <w:sz w:val="32"/>
          <w:szCs w:val="32"/>
          <w:lang w:eastAsia="zh-CN"/>
        </w:rPr>
        <w:t>比上年增加0.05万元，增长0.97%，主要原因是：本年新增公务接待费用，所以相应经费比上年增长。其中</w:t>
      </w:r>
      <w:bookmarkStart w:id="0" w:name="_GoBack"/>
      <w:bookmarkEnd w:id="0"/>
      <w:r>
        <w:rPr>
          <w:rFonts w:ascii="仿宋_GB2312" w:eastAsia="仿宋_GB2312"/>
          <w:sz w:val="32"/>
          <w:szCs w:val="32"/>
          <w:lang w:eastAsia="zh-CN"/>
        </w:rPr>
        <w:t>：因公出国（境）费支出0.00万元,占0.00%，与上年相比无变化，主要原因是：我单位2023年和2024年均未安排因公出国（境）；公务用车购置及运行维护费支出5.18万元，占99.04%，与上年相比无变化，主要原因是：我单位严格控制三公经费支出，同时均按预算数使用公务车辆运行经费；公务接待费支出0.05万元，占0.96%，比上年增加0.05万元，增长100%，主要原因是：</w:t>
      </w:r>
      <w:r>
        <w:rPr>
          <w:rFonts w:hint="eastAsia" w:ascii="仿宋_GB2312" w:eastAsia="仿宋_GB2312"/>
          <w:sz w:val="32"/>
          <w:szCs w:val="32"/>
          <w:lang w:eastAsia="zh-CN"/>
        </w:rPr>
        <w:t>本年度因新增业务交流次数，产生公务接待费用</w:t>
      </w:r>
      <w:r>
        <w:rPr>
          <w:rFonts w:ascii="仿宋_GB2312" w:eastAsia="仿宋_GB2312"/>
          <w:sz w:val="32"/>
          <w:szCs w:val="32"/>
          <w:lang w:eastAsia="zh-CN"/>
        </w:rPr>
        <w:t>。</w:t>
      </w:r>
    </w:p>
    <w:p w14:paraId="20E867BB">
      <w:pPr>
        <w:spacing w:after="0" w:line="560" w:lineRule="exact"/>
        <w:ind w:firstLine="643" w:firstLineChars="200"/>
        <w:rPr>
          <w:rFonts w:ascii="仿宋_GB2312" w:eastAsia="仿宋_GB2312"/>
          <w:b/>
          <w:bCs/>
          <w:sz w:val="32"/>
          <w:szCs w:val="32"/>
          <w:lang w:eastAsia="zh-CN"/>
        </w:rPr>
      </w:pPr>
      <w:r>
        <w:rPr>
          <w:rFonts w:ascii="仿宋_GB2312" w:eastAsia="仿宋_GB2312"/>
          <w:b/>
          <w:bCs/>
          <w:sz w:val="32"/>
          <w:szCs w:val="32"/>
          <w:lang w:eastAsia="zh-CN"/>
        </w:rPr>
        <w:t>具体情况如下：</w:t>
      </w:r>
    </w:p>
    <w:p w14:paraId="21C70D9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14:paraId="704394C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5.18万元，其中：公务用车购置费0.00万元，公务用车运行维护费5.18万元。公务用车运行维护费开支内容包括燃料费、维修费、过路过桥费、车辆保险费。公务用车购置数0辆，公务用车保有量7辆。国有资产占用情况中固定资产车辆7辆，与公务用车保有量差异原因是：车辆保有量与国有资产占用情况中固定资产车辆数量</w:t>
      </w:r>
      <w:r>
        <w:rPr>
          <w:rFonts w:hint="eastAsia" w:ascii="仿宋_GB2312" w:eastAsia="仿宋_GB2312"/>
          <w:sz w:val="32"/>
          <w:szCs w:val="32"/>
          <w:lang w:val="en-US" w:eastAsia="zh-CN"/>
        </w:rPr>
        <w:t>无差异</w:t>
      </w:r>
      <w:r>
        <w:rPr>
          <w:rFonts w:ascii="仿宋_GB2312" w:eastAsia="仿宋_GB2312"/>
          <w:sz w:val="32"/>
          <w:szCs w:val="32"/>
          <w:lang w:eastAsia="zh-CN"/>
        </w:rPr>
        <w:t>。</w:t>
      </w:r>
    </w:p>
    <w:p w14:paraId="5C0309A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公务接待费0.05万元，开支内容包括接待来访单位人员伙食费用。单位全年安排的国内公务接待1批次，3人次。</w:t>
      </w:r>
    </w:p>
    <w:p w14:paraId="4AD5D547">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与全年预算相比，</w:t>
      </w:r>
      <w:r>
        <w:rPr>
          <w:rFonts w:ascii="仿宋_GB2312" w:eastAsia="仿宋_GB2312"/>
          <w:sz w:val="32"/>
          <w:szCs w:val="32"/>
          <w:lang w:eastAsia="zh-CN"/>
        </w:rPr>
        <w:t>财政拨款</w:t>
      </w:r>
      <w:r>
        <w:rPr>
          <w:rFonts w:hint="eastAsia" w:ascii="仿宋_GB2312" w:eastAsia="仿宋_GB2312"/>
          <w:sz w:val="32"/>
          <w:szCs w:val="32"/>
          <w:lang w:eastAsia="zh-CN"/>
        </w:rPr>
        <w:t>“三公”</w:t>
      </w:r>
      <w:r>
        <w:rPr>
          <w:rFonts w:ascii="仿宋_GB2312" w:eastAsia="仿宋_GB2312"/>
          <w:sz w:val="32"/>
          <w:szCs w:val="32"/>
          <w:lang w:eastAsia="zh-CN"/>
        </w:rPr>
        <w:t>经费支出全年预算数5.23万元，决算数5.23万元，预决算差异率0.00%，主要原因是：严格执行</w:t>
      </w:r>
      <w:r>
        <w:rPr>
          <w:rFonts w:hint="eastAsia" w:ascii="仿宋_GB2312" w:eastAsia="仿宋_GB2312"/>
          <w:sz w:val="32"/>
          <w:szCs w:val="32"/>
          <w:lang w:eastAsia="zh-CN"/>
        </w:rPr>
        <w:t>“三公”</w:t>
      </w:r>
      <w:r>
        <w:rPr>
          <w:rFonts w:ascii="仿宋_GB2312" w:eastAsia="仿宋_GB2312"/>
          <w:sz w:val="32"/>
          <w:szCs w:val="32"/>
          <w:lang w:eastAsia="zh-CN"/>
        </w:rPr>
        <w:t>经费预算，加强公务用车管理，减少公车出行，严格使用公务接待费。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5.18万元，决算数5.18万元，预决算差异率0.00%，主要原因是：我单位严格控制</w:t>
      </w:r>
      <w:r>
        <w:rPr>
          <w:rFonts w:hint="eastAsia" w:ascii="仿宋_GB2312" w:eastAsia="仿宋_GB2312"/>
          <w:sz w:val="32"/>
          <w:szCs w:val="32"/>
          <w:lang w:eastAsia="zh-CN"/>
        </w:rPr>
        <w:t>“</w:t>
      </w:r>
      <w:r>
        <w:rPr>
          <w:rFonts w:ascii="仿宋_GB2312" w:eastAsia="仿宋_GB2312"/>
          <w:sz w:val="32"/>
          <w:szCs w:val="32"/>
          <w:lang w:eastAsia="zh-CN"/>
        </w:rPr>
        <w:t>三公</w:t>
      </w:r>
      <w:r>
        <w:rPr>
          <w:rFonts w:hint="eastAsia" w:ascii="仿宋_GB2312" w:eastAsia="仿宋_GB2312"/>
          <w:sz w:val="32"/>
          <w:szCs w:val="32"/>
          <w:lang w:eastAsia="zh-CN"/>
        </w:rPr>
        <w:t>”</w:t>
      </w:r>
      <w:r>
        <w:rPr>
          <w:rFonts w:ascii="仿宋_GB2312" w:eastAsia="仿宋_GB2312"/>
          <w:sz w:val="32"/>
          <w:szCs w:val="32"/>
          <w:lang w:eastAsia="zh-CN"/>
        </w:rPr>
        <w:t>经费支出，同时均按预算数使用公务车辆运行经费；公务接待费全年预算数0.05万元，决算数0.05万元，预决算差异率0.00%，主要原因是：我单位严格控制</w:t>
      </w:r>
      <w:r>
        <w:rPr>
          <w:rFonts w:hint="eastAsia" w:ascii="仿宋_GB2312" w:eastAsia="仿宋_GB2312"/>
          <w:sz w:val="32"/>
          <w:szCs w:val="32"/>
          <w:lang w:eastAsia="zh-CN"/>
        </w:rPr>
        <w:t>“</w:t>
      </w:r>
      <w:r>
        <w:rPr>
          <w:rFonts w:ascii="仿宋_GB2312" w:eastAsia="仿宋_GB2312"/>
          <w:sz w:val="32"/>
          <w:szCs w:val="32"/>
          <w:lang w:eastAsia="zh-CN"/>
        </w:rPr>
        <w:t>三公</w:t>
      </w:r>
      <w:r>
        <w:rPr>
          <w:rFonts w:hint="eastAsia" w:ascii="仿宋_GB2312" w:eastAsia="仿宋_GB2312"/>
          <w:sz w:val="32"/>
          <w:szCs w:val="32"/>
          <w:lang w:eastAsia="zh-CN"/>
        </w:rPr>
        <w:t>”</w:t>
      </w:r>
      <w:r>
        <w:rPr>
          <w:rFonts w:ascii="仿宋_GB2312" w:eastAsia="仿宋_GB2312"/>
          <w:sz w:val="32"/>
          <w:szCs w:val="32"/>
          <w:lang w:eastAsia="zh-CN"/>
        </w:rPr>
        <w:t>经费支出，同时均按预算数使用公务接待经费。</w:t>
      </w:r>
    </w:p>
    <w:p w14:paraId="337EC79A">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4C6B77CF">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（一）机关运行经费及公用经费支出情况</w:t>
      </w:r>
    </w:p>
    <w:p w14:paraId="59CB0E0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2024年度新疆林业科学院单位（事业单位）公用经费支出226.41万元，比上年减少77.23万元，下降25.43%，主要原因是：严格落实过紧日子相关规定，控制各项经费支出。</w:t>
      </w:r>
    </w:p>
    <w:p w14:paraId="125EC123">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（二）政府采购情况</w:t>
      </w:r>
    </w:p>
    <w:p w14:paraId="21BB37B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2024年度政府采购支出总额64.78万元，其中：政府采购货物支出63.46万元、政府采购工程支出0.00万元、政府采购服务支出1.32万元。</w:t>
      </w:r>
    </w:p>
    <w:p w14:paraId="4831E63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授予中小企业合同金额64.78万元，占政府采购支出总额的100.00%，其中：授予小微企业合同金额64.78万元，占政府采购支出总额的100.00%。</w:t>
      </w:r>
    </w:p>
    <w:p w14:paraId="4C21CF0D">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（三）国有资产占用情况说明</w:t>
      </w:r>
    </w:p>
    <w:p w14:paraId="67B54E9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截至2024年12月31日，房屋18,672.73平方米，价值1,053.70万元。</w:t>
      </w:r>
      <w:r>
        <w:rPr>
          <w:rFonts w:ascii="仿宋_GB2312" w:eastAsia="仿宋_GB2312"/>
          <w:sz w:val="32"/>
          <w:szCs w:val="32"/>
          <w:lang w:eastAsia="zh-CN"/>
        </w:rPr>
        <w:t>车辆7辆，价值168.05万元，其中：副部（省）级及以上领导用车0辆、主要负责人用车2辆、机要通信用车0辆、应急保障用车0辆、执法执勤用车0辆、特种专业技术用车0辆、离退休干部服务用车0辆、其他用车5辆，其他用车主要是：单位日常运行用车;单价100万元（含）以上设备（不含车辆）3台。</w:t>
      </w:r>
    </w:p>
    <w:p w14:paraId="200C112E">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2DC9FD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3个，全年预算数1,650.00万元，全年执行数1,075.73万元。预算绩效管理取得的成效：一是按照绩效目标高效、高质量完成各项工作内容；二是能够及时发现问题并及时调整各项工作内容</w:t>
      </w:r>
      <w:r>
        <w:rPr>
          <w:rFonts w:hint="eastAsia" w:ascii="仿宋_GB2312" w:eastAsia="仿宋_GB2312"/>
          <w:sz w:val="32"/>
          <w:szCs w:val="32"/>
          <w:lang w:eastAsia="zh-CN"/>
        </w:rPr>
        <w:t>。</w:t>
      </w:r>
      <w:r>
        <w:rPr>
          <w:rFonts w:ascii="仿宋_GB2312" w:eastAsia="仿宋_GB2312"/>
          <w:sz w:val="32"/>
          <w:szCs w:val="32"/>
          <w:lang w:eastAsia="zh-CN"/>
        </w:rPr>
        <w:t>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5D8F28ED">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F22D31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91D31BB">
      <w:pPr>
        <w:spacing w:after="0" w:line="560" w:lineRule="exact"/>
        <w:ind w:firstLine="640" w:firstLineChars="200"/>
        <w:rPr>
          <w:rFonts w:ascii="仿宋_GB2312" w:eastAsia="仿宋_GB2312"/>
          <w:sz w:val="32"/>
          <w:szCs w:val="32"/>
          <w:lang w:eastAsia="zh-CN"/>
        </w:rPr>
      </w:pPr>
    </w:p>
    <w:p w14:paraId="3AC266CA">
      <w:pPr>
        <w:spacing w:after="0" w:line="560" w:lineRule="exact"/>
        <w:rPr>
          <w:lang w:eastAsia="zh-CN"/>
        </w:rPr>
      </w:pPr>
      <w:r>
        <w:rPr>
          <w:sz w:val="0"/>
          <w:szCs w:val="0"/>
          <w:lang w:eastAsia="zh-CN"/>
        </w:rPr>
        <w:br w:type="page"/>
      </w:r>
    </w:p>
    <w:p w14:paraId="6B736E32">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14:paraId="66A2AB3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7CD3F95">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6273490">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5D8C394">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1117901">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CB39E9D">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hint="eastAsia" w:ascii="仿宋_GB2312" w:eastAsia="仿宋_GB2312"/>
          <w:sz w:val="32"/>
          <w:szCs w:val="32"/>
          <w:lang w:eastAsia="zh-CN"/>
        </w:rPr>
        <w:t>“</w:t>
      </w:r>
      <w:r>
        <w:rPr>
          <w:rFonts w:ascii="仿宋_GB2312" w:eastAsia="仿宋_GB2312"/>
          <w:sz w:val="32"/>
          <w:szCs w:val="32"/>
          <w:lang w:eastAsia="zh-CN"/>
        </w:rPr>
        <w:t>财政拨款收入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事业收入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经营收入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附属单位上缴收入</w:t>
      </w:r>
      <w:r>
        <w:rPr>
          <w:rFonts w:hint="eastAsia" w:ascii="仿宋_GB2312" w:eastAsia="仿宋_GB2312"/>
          <w:sz w:val="32"/>
          <w:szCs w:val="32"/>
          <w:lang w:eastAsia="zh-CN"/>
        </w:rPr>
        <w:t>”</w:t>
      </w:r>
      <w:r>
        <w:rPr>
          <w:rFonts w:ascii="仿宋_GB2312" w:eastAsia="仿宋_GB2312"/>
          <w:sz w:val="32"/>
          <w:szCs w:val="32"/>
          <w:lang w:eastAsia="zh-CN"/>
        </w:rPr>
        <w:t>等之外取得的收入。</w:t>
      </w:r>
    </w:p>
    <w:p w14:paraId="57905B91">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B82305C">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F27564">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85A9DBF">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4F12CD8">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2DFA93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B1C935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w:t>
      </w:r>
      <w:r>
        <w:rPr>
          <w:rFonts w:hint="eastAsia" w:ascii="仿宋_GB2312" w:eastAsia="仿宋_GB2312"/>
          <w:b/>
          <w:sz w:val="32"/>
          <w:szCs w:val="32"/>
          <w:lang w:eastAsia="zh-CN"/>
        </w:rPr>
        <w:t>“三公”</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0C796D">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15BBAF9">
      <w:pPr>
        <w:spacing w:after="0" w:line="560" w:lineRule="exact"/>
        <w:rPr>
          <w:lang w:eastAsia="zh-CN"/>
        </w:rPr>
      </w:pPr>
      <w:r>
        <w:rPr>
          <w:sz w:val="0"/>
          <w:szCs w:val="0"/>
          <w:lang w:eastAsia="zh-CN"/>
        </w:rPr>
        <w:br w:type="page"/>
      </w:r>
    </w:p>
    <w:p w14:paraId="4BA46653">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182A848">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B178A94">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65EE5AF">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37CEAAE">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7078CC6">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AD6146F">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6851453">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5991D1B">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8BF3B3F">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w:t>
      </w:r>
      <w:r>
        <w:rPr>
          <w:rFonts w:hint="eastAsia" w:ascii="仿宋_GB2312" w:eastAsia="仿宋_GB2312"/>
          <w:sz w:val="32"/>
          <w:szCs w:val="32"/>
          <w:lang w:eastAsia="zh-CN"/>
        </w:rPr>
        <w:t>“三公”</w:t>
      </w:r>
      <w:r>
        <w:rPr>
          <w:rFonts w:ascii="仿宋_GB2312" w:eastAsia="仿宋_GB2312"/>
          <w:sz w:val="32"/>
          <w:szCs w:val="32"/>
          <w:lang w:eastAsia="zh-CN"/>
        </w:rPr>
        <w:t>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ZTBhMWYzYTQ3ZGU0YTFhNWY1NzNmOTVhOTUxYmMwOWIifQ=="/>
  </w:docVars>
  <w:rsids>
    <w:rsidRoot w:val="00A35006"/>
    <w:rsid w:val="0000003F"/>
    <w:rsid w:val="00A35006"/>
    <w:rsid w:val="01685B3D"/>
    <w:rsid w:val="0EA335F7"/>
    <w:rsid w:val="102F6294"/>
    <w:rsid w:val="173B285C"/>
    <w:rsid w:val="18350FFC"/>
    <w:rsid w:val="24966FB5"/>
    <w:rsid w:val="33E86B33"/>
    <w:rsid w:val="35635C3C"/>
    <w:rsid w:val="36D81822"/>
    <w:rsid w:val="36FA437E"/>
    <w:rsid w:val="3831333D"/>
    <w:rsid w:val="3BF577B5"/>
    <w:rsid w:val="3F9D42CD"/>
    <w:rsid w:val="44064FB2"/>
    <w:rsid w:val="447162B5"/>
    <w:rsid w:val="56292132"/>
    <w:rsid w:val="5C7D655C"/>
    <w:rsid w:val="6D021C3D"/>
    <w:rsid w:val="71DC14E3"/>
    <w:rsid w:val="77AE3042"/>
    <w:rsid w:val="EDF73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5993</Words>
  <Characters>6724</Characters>
  <Lines>46</Lines>
  <Paragraphs>13</Paragraphs>
  <TotalTime>1</TotalTime>
  <ScaleCrop>false</ScaleCrop>
  <LinksUpToDate>false</LinksUpToDate>
  <CharactersWithSpaces>6735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2025-08-22T11:44:00Z</dcterms:created>
  <dc:creator>计算机</dc:creator>
  <cp:lastModifiedBy>晶</cp:lastModifiedBy>
  <dcterms:modified xsi:type="dcterms:W3CDTF">2025-08-25T03:54:52Z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4C02BD6E4FFB4264BA85401E60823EBB_12</vt:lpwstr>
  </property>
  <property fmtid="{D5CDD505-2E9C-101B-9397-08002B2CF9AE}" pid="4" name="KSOTemplateDocerSaveRecord">
    <vt:lpwstr>eyJoZGlkIjoiODFkN2IxNDhjZjg5NmQ2NGM2MDc2OTFlNWI4MDU2NDUiLCJ1c2VySWQiOiIyMzk3MjgxNjgifQ==</vt:lpwstr>
  </property>
</Properties>
</file>