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D0E6D6">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宋体" w:eastAsia="宋体"/>
          <w:sz w:val="32"/>
          <w:szCs w:val="32"/>
        </w:rPr>
      </w:pPr>
    </w:p>
    <w:p w14:paraId="0ECA5178">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宋体" w:eastAsia="宋体"/>
          <w:sz w:val="44"/>
          <w:szCs w:val="44"/>
        </w:rPr>
      </w:pPr>
    </w:p>
    <w:p w14:paraId="7729F022">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宋体" w:eastAsia="宋体"/>
          <w:sz w:val="44"/>
          <w:szCs w:val="44"/>
        </w:rPr>
      </w:pPr>
    </w:p>
    <w:p w14:paraId="6D1D7882">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宋体" w:eastAsia="宋体"/>
          <w:sz w:val="44"/>
          <w:szCs w:val="44"/>
        </w:rPr>
      </w:pPr>
    </w:p>
    <w:p w14:paraId="72E5C95E">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宋体" w:eastAsia="黑体"/>
          <w:sz w:val="44"/>
          <w:szCs w:val="44"/>
          <w:lang w:eastAsia="zh-CN"/>
        </w:rPr>
      </w:pPr>
      <w:r>
        <w:rPr>
          <w:rFonts w:ascii="宋体" w:eastAsia="黑体"/>
          <w:sz w:val="44"/>
          <w:szCs w:val="44"/>
          <w:lang w:eastAsia="zh-CN"/>
        </w:rPr>
        <w:t>新疆林业科学院</w:t>
      </w:r>
    </w:p>
    <w:p w14:paraId="5725092A">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44"/>
          <w:szCs w:val="44"/>
          <w:lang w:eastAsia="zh-CN"/>
        </w:rPr>
      </w:pPr>
      <w:r>
        <w:rPr>
          <w:rFonts w:ascii="黑体" w:eastAsia="黑体"/>
          <w:sz w:val="44"/>
          <w:szCs w:val="44"/>
          <w:lang w:eastAsia="zh-CN"/>
        </w:rPr>
        <w:t>2024年度部门决算公开说明</w:t>
      </w:r>
    </w:p>
    <w:p w14:paraId="2237C65F">
      <w:pPr>
        <w:keepNext w:val="0"/>
        <w:keepLines w:val="0"/>
        <w:pageBreakBefore w:val="0"/>
        <w:widowControl/>
        <w:kinsoku/>
        <w:wordWrap/>
        <w:overflowPunct/>
        <w:topLinePunct w:val="0"/>
        <w:autoSpaceDE/>
        <w:autoSpaceDN/>
        <w:bidi w:val="0"/>
        <w:adjustRightInd/>
        <w:snapToGrid/>
        <w:spacing w:after="0" w:line="560" w:lineRule="exact"/>
        <w:textAlignment w:val="auto"/>
        <w:rPr>
          <w:lang w:eastAsia="zh-CN"/>
        </w:rPr>
      </w:pPr>
      <w:r>
        <w:rPr>
          <w:sz w:val="0"/>
          <w:szCs w:val="0"/>
          <w:lang w:eastAsia="zh-CN"/>
        </w:rPr>
        <w:br w:type="page"/>
      </w:r>
    </w:p>
    <w:p w14:paraId="6D0461C0">
      <w:pPr>
        <w:keepNext w:val="0"/>
        <w:keepLines w:val="0"/>
        <w:pageBreakBefore w:val="0"/>
        <w:widowControl/>
        <w:kinsoku/>
        <w:wordWrap/>
        <w:overflowPunct/>
        <w:topLinePunct w:val="0"/>
        <w:autoSpaceDE/>
        <w:autoSpaceDN/>
        <w:bidi w:val="0"/>
        <w:adjustRightInd/>
        <w:snapToGrid/>
        <w:spacing w:after="0" w:line="560" w:lineRule="exact"/>
        <w:jc w:val="center"/>
        <w:textAlignment w:val="auto"/>
        <w:rPr>
          <w:rFonts w:ascii="黑体" w:eastAsia="黑体"/>
          <w:sz w:val="32"/>
          <w:szCs w:val="32"/>
          <w:lang w:eastAsia="zh-CN"/>
        </w:rPr>
      </w:pPr>
      <w:r>
        <w:rPr>
          <w:rFonts w:ascii="黑体" w:eastAsia="黑体"/>
          <w:b/>
          <w:sz w:val="32"/>
          <w:szCs w:val="32"/>
          <w:lang w:eastAsia="zh-CN"/>
        </w:rPr>
        <w:t>目  录</w:t>
      </w:r>
    </w:p>
    <w:p w14:paraId="5A152BF0">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b/>
          <w:sz w:val="32"/>
          <w:szCs w:val="32"/>
          <w:lang w:eastAsia="zh-CN"/>
        </w:rPr>
        <w:t>第一部分</w:t>
      </w:r>
      <w:r>
        <w:rPr>
          <w:rFonts w:hint="eastAsia" w:ascii="仿宋_GB2312" w:eastAsia="仿宋_GB2312"/>
          <w:b/>
          <w:sz w:val="32"/>
          <w:szCs w:val="32"/>
          <w:lang w:val="en-US" w:eastAsia="zh-CN"/>
        </w:rPr>
        <w:t xml:space="preserve"> </w:t>
      </w:r>
      <w:r>
        <w:rPr>
          <w:rFonts w:ascii="仿宋_GB2312" w:eastAsia="仿宋_GB2312"/>
          <w:b/>
          <w:sz w:val="32"/>
          <w:szCs w:val="32"/>
          <w:lang w:eastAsia="zh-CN"/>
        </w:rPr>
        <w:t>部门概况</w:t>
      </w:r>
    </w:p>
    <w:p w14:paraId="6F07537A">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一、主要职能</w:t>
      </w:r>
    </w:p>
    <w:p w14:paraId="13B403D8">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二、机构设置及人员情况</w:t>
      </w:r>
    </w:p>
    <w:p w14:paraId="6A6AF8BF">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6E9757C">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8EECA4C">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二、收入决算情况说明</w:t>
      </w:r>
    </w:p>
    <w:p w14:paraId="1509A4AE">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三、支出决算情况说明</w:t>
      </w:r>
    </w:p>
    <w:p w14:paraId="78D70949">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D0BB5A4">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988EC8D">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2A59772">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0EC368A">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E641DDF">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5B387A45">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D4DF619">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EC152B9">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九、财政拨款</w:t>
      </w:r>
      <w:r>
        <w:rPr>
          <w:rFonts w:hint="eastAsia" w:ascii="仿宋_GB2312" w:eastAsia="仿宋_GB2312"/>
          <w:sz w:val="32"/>
          <w:szCs w:val="32"/>
          <w:lang w:eastAsia="zh-CN"/>
        </w:rPr>
        <w:t>“三公”</w:t>
      </w:r>
      <w:r>
        <w:rPr>
          <w:rFonts w:ascii="仿宋_GB2312" w:eastAsia="仿宋_GB2312"/>
          <w:sz w:val="32"/>
          <w:szCs w:val="32"/>
          <w:lang w:eastAsia="zh-CN"/>
        </w:rPr>
        <w:t>经费支出决算情况说明</w:t>
      </w:r>
    </w:p>
    <w:p w14:paraId="0FE74D4E">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35B37953">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1B018E25">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（二）政府采购情况</w:t>
      </w:r>
    </w:p>
    <w:p w14:paraId="39EC26D9">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（三）国有资产占用情况说明</w:t>
      </w:r>
    </w:p>
    <w:p w14:paraId="4576E735">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十一、预算绩效的情况说明</w:t>
      </w:r>
    </w:p>
    <w:p w14:paraId="3137E787">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十二、其他需说明的事项</w:t>
      </w:r>
    </w:p>
    <w:p w14:paraId="2A6CEB5E">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974406B">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7EA5D151">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一、《收入支出决算总表》</w:t>
      </w:r>
    </w:p>
    <w:p w14:paraId="3411E4C3">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二、《收入决算表》</w:t>
      </w:r>
    </w:p>
    <w:p w14:paraId="71EDA260">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三、《支出决算表》</w:t>
      </w:r>
    </w:p>
    <w:p w14:paraId="7E96571A">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EEED716">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9EEE8EA">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A197278">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824A09E">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2E7265E">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eastAsia="仿宋_GB2312"/>
          <w:sz w:val="32"/>
          <w:szCs w:val="32"/>
          <w:lang w:eastAsia="zh-CN"/>
        </w:rPr>
      </w:pPr>
      <w:r>
        <w:rPr>
          <w:rFonts w:ascii="仿宋_GB2312" w:eastAsia="仿宋_GB2312"/>
          <w:sz w:val="32"/>
          <w:szCs w:val="32"/>
          <w:lang w:eastAsia="zh-CN"/>
        </w:rPr>
        <w:t>九、《财政拨款</w:t>
      </w:r>
      <w:r>
        <w:rPr>
          <w:rFonts w:hint="eastAsia" w:ascii="仿宋_GB2312" w:eastAsia="仿宋_GB2312"/>
          <w:sz w:val="32"/>
          <w:szCs w:val="32"/>
          <w:lang w:eastAsia="zh-CN"/>
        </w:rPr>
        <w:t>“三公”</w:t>
      </w:r>
      <w:r>
        <w:rPr>
          <w:rFonts w:ascii="仿宋_GB2312" w:eastAsia="仿宋_GB2312"/>
          <w:sz w:val="32"/>
          <w:szCs w:val="32"/>
          <w:lang w:eastAsia="zh-CN"/>
        </w:rPr>
        <w:t>经费支出决算表》</w:t>
      </w:r>
    </w:p>
    <w:p w14:paraId="4898A447">
      <w:pPr>
        <w:keepNext w:val="0"/>
        <w:keepLines w:val="0"/>
        <w:pageBreakBefore w:val="0"/>
        <w:widowControl/>
        <w:kinsoku/>
        <w:wordWrap/>
        <w:overflowPunct/>
        <w:topLinePunct w:val="0"/>
        <w:autoSpaceDE/>
        <w:autoSpaceDN/>
        <w:bidi w:val="0"/>
        <w:adjustRightInd/>
        <w:snapToGrid/>
        <w:spacing w:after="0" w:line="560" w:lineRule="exact"/>
        <w:textAlignment w:val="auto"/>
        <w:rPr>
          <w:lang w:eastAsia="zh-CN"/>
        </w:rPr>
      </w:pPr>
      <w:r>
        <w:rPr>
          <w:sz w:val="0"/>
          <w:szCs w:val="0"/>
          <w:lang w:eastAsia="zh-CN"/>
        </w:rPr>
        <w:br w:type="page"/>
      </w:r>
    </w:p>
    <w:p w14:paraId="12101D22">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32"/>
          <w:szCs w:val="32"/>
          <w:lang w:eastAsia="zh-CN"/>
        </w:rPr>
      </w:pPr>
      <w:r>
        <w:rPr>
          <w:rFonts w:ascii="黑体" w:eastAsia="黑体"/>
          <w:sz w:val="32"/>
          <w:szCs w:val="32"/>
          <w:lang w:eastAsia="zh-CN"/>
        </w:rPr>
        <w:t>第一部分 部门概况</w:t>
      </w:r>
    </w:p>
    <w:p w14:paraId="6ACAFCC2">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 一、主要职能</w:t>
      </w:r>
    </w:p>
    <w:p w14:paraId="37919A07">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1、承担国家、国家林业和草原局和自治区的林业科学研究、推广、开发任务。2、开展自治区干旱、半干旱和荒漠化防护林体系建设及绿洲生态的研究。3</w:t>
      </w:r>
      <w:r>
        <w:rPr>
          <w:rFonts w:hint="eastAsia" w:ascii="仿宋_GB2312" w:eastAsia="仿宋_GB2312"/>
          <w:sz w:val="32"/>
          <w:szCs w:val="32"/>
          <w:lang w:eastAsia="zh-CN"/>
        </w:rPr>
        <w:t>、</w:t>
      </w:r>
      <w:r>
        <w:rPr>
          <w:rFonts w:ascii="仿宋_GB2312" w:eastAsia="仿宋_GB2312"/>
          <w:sz w:val="32"/>
          <w:szCs w:val="32"/>
          <w:lang w:eastAsia="zh-CN"/>
        </w:rPr>
        <w:t xml:space="preserve">开展自治区森林资源保护与生态环境建设，天然林保护，退耕还林的研究工作。4、承担适合自治区生长的林果业技术研究工作。5、承担自治区城市绿化、荒山绿化规划施工的研究推广，观赏园林园艺的景观设计研究工作。6、承担现代林业理论，技术等研究工作 </w:t>
      </w:r>
      <w:r>
        <w:rPr>
          <w:rFonts w:hint="eastAsia" w:ascii="仿宋_GB2312" w:eastAsia="仿宋_GB2312"/>
          <w:sz w:val="32"/>
          <w:szCs w:val="32"/>
          <w:lang w:eastAsia="zh-CN"/>
        </w:rPr>
        <w:t>。</w:t>
      </w:r>
      <w:r>
        <w:rPr>
          <w:rFonts w:ascii="仿宋_GB2312" w:eastAsia="仿宋_GB2312"/>
          <w:sz w:val="32"/>
          <w:szCs w:val="32"/>
          <w:lang w:eastAsia="zh-CN"/>
        </w:rPr>
        <w:t>7、组织实施以林业为主题的科技扶贫、科技下乡、技术咨询、科技示范园建设等工作。</w:t>
      </w:r>
    </w:p>
    <w:p w14:paraId="13C814BD">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二、机构设置及人员情况</w:t>
      </w:r>
    </w:p>
    <w:p w14:paraId="174D8C00">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新疆林业科学院2024年度，实有人数356人，其中：在职人员163人，减少4人；离休人员2人，较上年无变化；退休人员191人，增加3人。</w:t>
      </w:r>
    </w:p>
    <w:p w14:paraId="0CCC579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从部门决算单位构成看，新疆林业科学院部门决算包括：新疆林业科学院本级决算及所属单位决算。</w:t>
      </w:r>
    </w:p>
    <w:p w14:paraId="44E48A89">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新疆林业科学院本级下设6个处室，分别是：办公室（党委办公室）、组织人事处、计划财务处、科研管理处、科技推广处、监察室（与纪检委合署办公）。</w:t>
      </w:r>
    </w:p>
    <w:p w14:paraId="58C9740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纳入新疆林业科学院2024年度部门决算编制范围的下属预算单位包括：</w:t>
      </w:r>
    </w:p>
    <w:p w14:paraId="4328524C">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ascii="仿宋_GB2312" w:eastAsia="仿宋_GB2312"/>
          <w:sz w:val="32"/>
          <w:szCs w:val="32"/>
          <w:lang w:eastAsia="zh-CN"/>
        </w:rPr>
      </w:pPr>
      <w:r>
        <w:rPr>
          <w:rFonts w:ascii="仿宋_GB2312" w:eastAsia="仿宋_GB2312"/>
          <w:sz w:val="32"/>
          <w:szCs w:val="32"/>
          <w:lang w:eastAsia="zh-CN"/>
        </w:rPr>
        <w:t>新疆林业科学院</w:t>
      </w:r>
    </w:p>
    <w:p w14:paraId="5C681324">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ascii="仿宋_GB2312" w:eastAsia="仿宋_GB2312"/>
          <w:sz w:val="32"/>
          <w:szCs w:val="32"/>
          <w:lang w:eastAsia="zh-CN"/>
        </w:rPr>
      </w:pPr>
      <w:r>
        <w:rPr>
          <w:rFonts w:ascii="仿宋_GB2312" w:eastAsia="仿宋_GB2312"/>
          <w:sz w:val="32"/>
          <w:szCs w:val="32"/>
          <w:lang w:eastAsia="zh-CN"/>
        </w:rPr>
        <w:t>新疆林科院森林生态研究所</w:t>
      </w:r>
    </w:p>
    <w:p w14:paraId="4A52C049">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ascii="仿宋_GB2312" w:eastAsia="仿宋_GB2312"/>
          <w:sz w:val="32"/>
          <w:szCs w:val="32"/>
          <w:lang w:eastAsia="zh-CN"/>
        </w:rPr>
      </w:pPr>
      <w:r>
        <w:rPr>
          <w:rFonts w:ascii="仿宋_GB2312" w:eastAsia="仿宋_GB2312"/>
          <w:sz w:val="32"/>
          <w:szCs w:val="32"/>
          <w:lang w:eastAsia="zh-CN"/>
        </w:rPr>
        <w:t>新疆林科院造林治沙研究所</w:t>
      </w:r>
    </w:p>
    <w:p w14:paraId="34EED50D">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ascii="仿宋_GB2312" w:eastAsia="仿宋_GB2312"/>
          <w:sz w:val="32"/>
          <w:szCs w:val="32"/>
          <w:lang w:eastAsia="zh-CN"/>
        </w:rPr>
      </w:pPr>
      <w:r>
        <w:rPr>
          <w:rFonts w:ascii="仿宋_GB2312" w:eastAsia="仿宋_GB2312"/>
          <w:sz w:val="32"/>
          <w:szCs w:val="32"/>
          <w:lang w:eastAsia="zh-CN"/>
        </w:rPr>
        <w:t>新疆林科院经济林研究所</w:t>
      </w:r>
    </w:p>
    <w:p w14:paraId="2A967AA7">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ascii="仿宋_GB2312" w:eastAsia="仿宋_GB2312"/>
          <w:sz w:val="32"/>
          <w:szCs w:val="32"/>
          <w:lang w:eastAsia="zh-CN"/>
        </w:rPr>
      </w:pPr>
      <w:r>
        <w:rPr>
          <w:rFonts w:ascii="仿宋_GB2312" w:eastAsia="仿宋_GB2312"/>
          <w:sz w:val="32"/>
          <w:szCs w:val="32"/>
          <w:lang w:eastAsia="zh-CN"/>
        </w:rPr>
        <w:t>新疆林科院园林绿化研究所</w:t>
      </w:r>
    </w:p>
    <w:p w14:paraId="2663EDE4">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ascii="仿宋_GB2312" w:eastAsia="仿宋_GB2312"/>
          <w:sz w:val="32"/>
          <w:szCs w:val="32"/>
          <w:lang w:eastAsia="zh-CN"/>
        </w:rPr>
      </w:pPr>
      <w:r>
        <w:rPr>
          <w:rFonts w:ascii="仿宋_GB2312" w:eastAsia="仿宋_GB2312"/>
          <w:sz w:val="32"/>
          <w:szCs w:val="32"/>
          <w:lang w:eastAsia="zh-CN"/>
        </w:rPr>
        <w:t>新疆林业科学院现代林业研究所</w:t>
      </w:r>
    </w:p>
    <w:p w14:paraId="5F640408">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ascii="仿宋_GB2312" w:eastAsia="仿宋_GB2312"/>
          <w:sz w:val="32"/>
          <w:szCs w:val="32"/>
          <w:lang w:eastAsia="zh-CN"/>
        </w:rPr>
      </w:pPr>
      <w:r>
        <w:rPr>
          <w:rFonts w:ascii="仿宋_GB2312" w:eastAsia="仿宋_GB2312"/>
          <w:sz w:val="32"/>
          <w:szCs w:val="32"/>
          <w:lang w:eastAsia="zh-CN"/>
        </w:rPr>
        <w:t>新疆林业测试中心</w:t>
      </w:r>
    </w:p>
    <w:p w14:paraId="429A0D65">
      <w:pPr>
        <w:keepNext w:val="0"/>
        <w:keepLines w:val="0"/>
        <w:pageBreakBefore w:val="0"/>
        <w:widowControl/>
        <w:kinsoku/>
        <w:wordWrap/>
        <w:overflowPunct/>
        <w:topLinePunct w:val="0"/>
        <w:autoSpaceDE/>
        <w:autoSpaceDN/>
        <w:bidi w:val="0"/>
        <w:adjustRightInd/>
        <w:snapToGrid/>
        <w:spacing w:after="0" w:line="560" w:lineRule="exact"/>
        <w:textAlignment w:val="auto"/>
        <w:rPr>
          <w:lang w:eastAsia="zh-CN"/>
        </w:rPr>
      </w:pPr>
      <w:r>
        <w:rPr>
          <w:sz w:val="0"/>
          <w:szCs w:val="0"/>
          <w:lang w:eastAsia="zh-CN"/>
        </w:rPr>
        <w:br w:type="page"/>
      </w:r>
    </w:p>
    <w:p w14:paraId="78F830AE">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32"/>
          <w:szCs w:val="32"/>
          <w:lang w:eastAsia="zh-CN"/>
        </w:rPr>
      </w:pPr>
      <w:r>
        <w:rPr>
          <w:rFonts w:ascii="黑体" w:eastAsia="黑体"/>
          <w:sz w:val="32"/>
          <w:szCs w:val="32"/>
          <w:lang w:eastAsia="zh-CN"/>
        </w:rPr>
        <w:t>第二部分 部门决算情况说明</w:t>
      </w:r>
    </w:p>
    <w:p w14:paraId="6F74BD6E">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一、收入支出决算总体情况说明</w:t>
      </w:r>
    </w:p>
    <w:p w14:paraId="5D6D9367">
      <w:pPr>
        <w:keepNext w:val="0"/>
        <w:keepLines w:val="0"/>
        <w:pageBreakBefore w:val="0"/>
        <w:widowControl/>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sz w:val="32"/>
          <w:szCs w:val="32"/>
          <w:lang w:eastAsia="zh-CN"/>
        </w:rPr>
      </w:pPr>
      <w:r>
        <w:rPr>
          <w:rFonts w:ascii="仿宋_GB2312" w:eastAsia="仿宋_GB2312"/>
          <w:b/>
          <w:bCs/>
          <w:sz w:val="32"/>
          <w:szCs w:val="32"/>
          <w:lang w:eastAsia="zh-CN"/>
        </w:rPr>
        <w:t>2024年度收入总计22,319.05万元，</w:t>
      </w:r>
      <w:r>
        <w:rPr>
          <w:rFonts w:ascii="仿宋_GB2312" w:eastAsia="仿宋_GB2312"/>
          <w:sz w:val="32"/>
          <w:szCs w:val="32"/>
          <w:lang w:eastAsia="zh-CN"/>
        </w:rPr>
        <w:t>其中：本年收入合计19,717.79万元，使用非财政拨款结余（含专用结余）0.00万元，年初结转和结余2,601.26万元。</w:t>
      </w:r>
    </w:p>
    <w:p w14:paraId="30044B9C">
      <w:pPr>
        <w:keepNext w:val="0"/>
        <w:keepLines w:val="0"/>
        <w:pageBreakBefore w:val="0"/>
        <w:widowControl/>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sz w:val="32"/>
          <w:szCs w:val="32"/>
          <w:lang w:eastAsia="zh-CN"/>
        </w:rPr>
      </w:pPr>
      <w:r>
        <w:rPr>
          <w:rFonts w:ascii="仿宋_GB2312" w:eastAsia="仿宋_GB2312"/>
          <w:b/>
          <w:bCs/>
          <w:sz w:val="32"/>
          <w:szCs w:val="32"/>
          <w:lang w:eastAsia="zh-CN"/>
        </w:rPr>
        <w:t>2024年度支出总计22,319.05万元，</w:t>
      </w:r>
      <w:r>
        <w:rPr>
          <w:rFonts w:ascii="仿宋_GB2312" w:eastAsia="仿宋_GB2312"/>
          <w:sz w:val="32"/>
          <w:szCs w:val="32"/>
          <w:lang w:eastAsia="zh-CN"/>
        </w:rPr>
        <w:t>其中：本年支出合计16,288.70万元，结余分配1.67万元，年末结转和结余6,028.68万元。</w:t>
      </w:r>
    </w:p>
    <w:p w14:paraId="05EBC773">
      <w:pPr>
        <w:keepNext w:val="0"/>
        <w:keepLines w:val="0"/>
        <w:pageBreakBefore w:val="0"/>
        <w:widowControl/>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sz w:val="32"/>
          <w:szCs w:val="32"/>
          <w:lang w:eastAsia="zh-CN"/>
        </w:rPr>
      </w:pPr>
      <w:r>
        <w:rPr>
          <w:rFonts w:ascii="仿宋_GB2312" w:eastAsia="仿宋_GB2312"/>
          <w:b/>
          <w:bCs/>
          <w:sz w:val="32"/>
          <w:szCs w:val="32"/>
          <w:lang w:eastAsia="zh-CN"/>
        </w:rPr>
        <w:t>收入支出总体与上年相比，</w:t>
      </w:r>
      <w:r>
        <w:rPr>
          <w:rFonts w:ascii="仿宋_GB2312" w:eastAsia="仿宋_GB2312"/>
          <w:sz w:val="32"/>
          <w:szCs w:val="32"/>
          <w:lang w:eastAsia="zh-CN"/>
        </w:rPr>
        <w:t>增加8,585.93万元，增长62.52%，主要原因是：</w:t>
      </w:r>
      <w:r>
        <w:rPr>
          <w:rFonts w:hint="eastAsia" w:ascii="仿宋_GB2312" w:eastAsia="仿宋_GB2312"/>
          <w:sz w:val="32"/>
          <w:szCs w:val="32"/>
          <w:lang w:eastAsia="zh-CN"/>
        </w:rPr>
        <w:t>一是</w:t>
      </w:r>
      <w:r>
        <w:rPr>
          <w:rFonts w:ascii="仿宋_GB2312" w:eastAsia="仿宋_GB2312"/>
          <w:sz w:val="32"/>
          <w:szCs w:val="32"/>
          <w:lang w:eastAsia="zh-CN"/>
        </w:rPr>
        <w:t>因工资普调、社保基数上涨，人员经费较上年增加；</w:t>
      </w:r>
      <w:r>
        <w:rPr>
          <w:rFonts w:hint="eastAsia" w:ascii="仿宋_GB2312" w:eastAsia="仿宋_GB2312"/>
          <w:sz w:val="32"/>
          <w:szCs w:val="32"/>
          <w:lang w:eastAsia="zh-CN"/>
        </w:rPr>
        <w:t>二是项目支出中，本年度</w:t>
      </w:r>
      <w:r>
        <w:rPr>
          <w:rFonts w:ascii="仿宋_GB2312" w:eastAsia="仿宋_GB2312"/>
          <w:sz w:val="32"/>
          <w:szCs w:val="32"/>
          <w:lang w:eastAsia="zh-CN"/>
        </w:rPr>
        <w:t>追加财政拨款项目和横向课题项目</w:t>
      </w:r>
      <w:r>
        <w:rPr>
          <w:rFonts w:hint="eastAsia" w:ascii="仿宋_GB2312" w:eastAsia="仿宋_GB2312"/>
          <w:sz w:val="32"/>
          <w:szCs w:val="32"/>
          <w:lang w:eastAsia="zh-CN"/>
        </w:rPr>
        <w:t>、</w:t>
      </w:r>
      <w:r>
        <w:rPr>
          <w:rFonts w:ascii="仿宋_GB2312" w:eastAsia="仿宋_GB2312"/>
          <w:sz w:val="32"/>
          <w:szCs w:val="32"/>
          <w:lang w:eastAsia="zh-CN"/>
        </w:rPr>
        <w:t>重点研发</w:t>
      </w:r>
      <w:r>
        <w:rPr>
          <w:rFonts w:hint="eastAsia" w:ascii="仿宋_GB2312" w:eastAsia="仿宋_GB2312"/>
          <w:sz w:val="32"/>
          <w:szCs w:val="32"/>
          <w:lang w:eastAsia="zh-CN"/>
        </w:rPr>
        <w:t>项目等</w:t>
      </w:r>
      <w:r>
        <w:rPr>
          <w:rFonts w:ascii="仿宋_GB2312" w:eastAsia="仿宋_GB2312"/>
          <w:sz w:val="32"/>
          <w:szCs w:val="32"/>
          <w:lang w:eastAsia="zh-CN"/>
        </w:rPr>
        <w:t>，相应支出总计比上年增加。</w:t>
      </w:r>
    </w:p>
    <w:p w14:paraId="5256BDB4">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二、收入决算情况说明</w:t>
      </w:r>
    </w:p>
    <w:p w14:paraId="3555C13D">
      <w:pPr>
        <w:keepNext w:val="0"/>
        <w:keepLines w:val="0"/>
        <w:pageBreakBefore w:val="0"/>
        <w:widowControl/>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sz w:val="32"/>
          <w:szCs w:val="32"/>
          <w:lang w:eastAsia="zh-CN"/>
        </w:rPr>
      </w:pPr>
      <w:r>
        <w:rPr>
          <w:rFonts w:ascii="仿宋_GB2312" w:eastAsia="仿宋_GB2312"/>
          <w:b/>
          <w:bCs/>
          <w:sz w:val="32"/>
          <w:szCs w:val="32"/>
          <w:lang w:eastAsia="zh-CN"/>
        </w:rPr>
        <w:t>本年收入19,717.79万元，</w:t>
      </w:r>
      <w:r>
        <w:rPr>
          <w:rFonts w:ascii="仿宋_GB2312" w:eastAsia="仿宋_GB2312"/>
          <w:sz w:val="32"/>
          <w:szCs w:val="32"/>
          <w:lang w:eastAsia="zh-CN"/>
        </w:rPr>
        <w:t>其中：财政拨款收入9,639.55万元,占48.89%；上级补助收入0.00万元,占0.00%；事业收入10,066.22万元，占51.05%；经营收入0.00万元,占0.00%；附属单位上缴收入0.00万元，占0.00%；其他收入12.02万元，占0.06%。</w:t>
      </w:r>
    </w:p>
    <w:p w14:paraId="7329A17A">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三、支出决算情况说明</w:t>
      </w:r>
    </w:p>
    <w:p w14:paraId="1D5BB22F">
      <w:pPr>
        <w:keepNext w:val="0"/>
        <w:keepLines w:val="0"/>
        <w:pageBreakBefore w:val="0"/>
        <w:widowControl/>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sz w:val="32"/>
          <w:szCs w:val="32"/>
          <w:lang w:eastAsia="zh-CN"/>
        </w:rPr>
      </w:pPr>
      <w:r>
        <w:rPr>
          <w:rFonts w:ascii="仿宋_GB2312" w:eastAsia="仿宋_GB2312"/>
          <w:b/>
          <w:bCs/>
          <w:sz w:val="32"/>
          <w:szCs w:val="32"/>
          <w:lang w:eastAsia="zh-CN"/>
        </w:rPr>
        <w:t>本年支出16,288.70万元，</w:t>
      </w:r>
      <w:r>
        <w:rPr>
          <w:rFonts w:ascii="仿宋_GB2312" w:eastAsia="仿宋_GB2312"/>
          <w:sz w:val="32"/>
          <w:szCs w:val="32"/>
          <w:lang w:eastAsia="zh-CN"/>
        </w:rPr>
        <w:t>其中：基本支出4,712.35万元，占28.93%；项目支出11,576.35万元，占71.07%；上缴上级支出0.00万元，占0.00%；经营支出0.00万元，占0.00%；对附属单位补助支出0.00万元，占0.00%。</w:t>
      </w:r>
    </w:p>
    <w:p w14:paraId="7513A2C5">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5F635D4">
      <w:pPr>
        <w:keepNext w:val="0"/>
        <w:keepLines w:val="0"/>
        <w:pageBreakBefore w:val="0"/>
        <w:widowControl/>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sz w:val="32"/>
          <w:szCs w:val="32"/>
          <w:lang w:eastAsia="zh-CN"/>
        </w:rPr>
      </w:pPr>
      <w:r>
        <w:rPr>
          <w:rFonts w:ascii="仿宋_GB2312" w:eastAsia="仿宋_GB2312"/>
          <w:b/>
          <w:bCs/>
          <w:sz w:val="32"/>
          <w:szCs w:val="32"/>
          <w:lang w:eastAsia="zh-CN"/>
        </w:rPr>
        <w:t>2024年度财政拨款收入总计9,675.77万元，</w:t>
      </w:r>
      <w:r>
        <w:rPr>
          <w:rFonts w:ascii="仿宋_GB2312" w:eastAsia="仿宋_GB2312"/>
          <w:sz w:val="32"/>
          <w:szCs w:val="32"/>
          <w:lang w:eastAsia="zh-CN"/>
        </w:rPr>
        <w:t>其中：年初财政拨款结转和结余36.22万元，本年财政拨款收入9,639.55万元。</w:t>
      </w:r>
      <w:r>
        <w:rPr>
          <w:rFonts w:ascii="仿宋_GB2312" w:eastAsia="仿宋_GB2312"/>
          <w:b/>
          <w:bCs/>
          <w:sz w:val="32"/>
          <w:szCs w:val="32"/>
          <w:lang w:eastAsia="zh-CN"/>
        </w:rPr>
        <w:t>财政拨款支出总计9,675.77万元，</w:t>
      </w:r>
      <w:r>
        <w:rPr>
          <w:rFonts w:ascii="仿宋_GB2312" w:eastAsia="仿宋_GB2312"/>
          <w:sz w:val="32"/>
          <w:szCs w:val="32"/>
          <w:lang w:eastAsia="zh-CN"/>
        </w:rPr>
        <w:t>其中：年末财政拨款结转和结余0.00万元，本年财政拨款支出9,675.77万元。</w:t>
      </w:r>
    </w:p>
    <w:p w14:paraId="0BE79ECC">
      <w:pPr>
        <w:keepNext w:val="0"/>
        <w:keepLines w:val="0"/>
        <w:pageBreakBefore w:val="0"/>
        <w:widowControl/>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sz w:val="32"/>
          <w:szCs w:val="32"/>
          <w:lang w:eastAsia="zh-CN"/>
        </w:rPr>
      </w:pPr>
      <w:r>
        <w:rPr>
          <w:rFonts w:ascii="仿宋_GB2312" w:eastAsia="仿宋_GB2312"/>
          <w:b/>
          <w:bCs/>
          <w:sz w:val="32"/>
          <w:szCs w:val="32"/>
          <w:lang w:eastAsia="zh-CN"/>
        </w:rPr>
        <w:t>财政拨款收入支出总体与上年相比，</w:t>
      </w:r>
      <w:r>
        <w:rPr>
          <w:rFonts w:ascii="仿宋_GB2312" w:eastAsia="仿宋_GB2312"/>
          <w:sz w:val="32"/>
          <w:szCs w:val="32"/>
          <w:lang w:eastAsia="zh-CN"/>
        </w:rPr>
        <w:t>增加1,208.22万元，增长14.27%，主要原因是：</w:t>
      </w:r>
      <w:r>
        <w:rPr>
          <w:rFonts w:hint="eastAsia" w:ascii="仿宋_GB2312" w:eastAsia="仿宋_GB2312"/>
          <w:sz w:val="32"/>
          <w:szCs w:val="32"/>
          <w:lang w:eastAsia="zh-CN"/>
        </w:rPr>
        <w:t>一是</w:t>
      </w:r>
      <w:r>
        <w:rPr>
          <w:rFonts w:ascii="仿宋_GB2312" w:eastAsia="仿宋_GB2312"/>
          <w:sz w:val="32"/>
          <w:szCs w:val="32"/>
          <w:lang w:eastAsia="zh-CN"/>
        </w:rPr>
        <w:t>因工资普调、社保基数上涨，人员经费较上年增加；</w:t>
      </w:r>
      <w:r>
        <w:rPr>
          <w:rFonts w:hint="eastAsia" w:ascii="仿宋_GB2312" w:eastAsia="仿宋_GB2312"/>
          <w:sz w:val="32"/>
          <w:szCs w:val="32"/>
          <w:lang w:eastAsia="zh-CN"/>
        </w:rPr>
        <w:t>二是项目支出中，本年度</w:t>
      </w:r>
      <w:r>
        <w:rPr>
          <w:rFonts w:ascii="仿宋_GB2312" w:eastAsia="仿宋_GB2312"/>
          <w:sz w:val="32"/>
          <w:szCs w:val="32"/>
          <w:lang w:eastAsia="zh-CN"/>
        </w:rPr>
        <w:t>追加财政拨款项目和</w:t>
      </w:r>
      <w:r>
        <w:rPr>
          <w:rFonts w:hint="eastAsia" w:ascii="仿宋_GB2312" w:eastAsia="仿宋_GB2312"/>
          <w:sz w:val="32"/>
          <w:szCs w:val="32"/>
          <w:lang w:eastAsia="zh-CN"/>
        </w:rPr>
        <w:t>重点研发</w:t>
      </w:r>
      <w:r>
        <w:rPr>
          <w:rFonts w:ascii="仿宋_GB2312" w:eastAsia="仿宋_GB2312"/>
          <w:sz w:val="32"/>
          <w:szCs w:val="32"/>
          <w:lang w:eastAsia="zh-CN"/>
        </w:rPr>
        <w:t>项目</w:t>
      </w:r>
      <w:r>
        <w:rPr>
          <w:rFonts w:hint="eastAsia" w:ascii="仿宋_GB2312" w:eastAsia="仿宋_GB2312"/>
          <w:sz w:val="32"/>
          <w:szCs w:val="32"/>
          <w:lang w:eastAsia="zh-CN"/>
        </w:rPr>
        <w:t>，因此项目经费上涨</w:t>
      </w:r>
      <w:r>
        <w:rPr>
          <w:rFonts w:ascii="仿宋_GB2312" w:eastAsia="仿宋_GB2312"/>
          <w:sz w:val="32"/>
          <w:szCs w:val="32"/>
          <w:lang w:eastAsia="zh-CN"/>
        </w:rPr>
        <w:t>。</w:t>
      </w:r>
      <w:r>
        <w:rPr>
          <w:rFonts w:ascii="仿宋_GB2312" w:eastAsia="仿宋_GB2312"/>
          <w:b/>
          <w:bCs/>
          <w:sz w:val="32"/>
          <w:szCs w:val="32"/>
          <w:lang w:eastAsia="zh-CN"/>
        </w:rPr>
        <w:t>与年初预算相比，</w:t>
      </w:r>
      <w:r>
        <w:rPr>
          <w:rFonts w:ascii="仿宋_GB2312" w:eastAsia="仿宋_GB2312"/>
          <w:sz w:val="32"/>
          <w:szCs w:val="32"/>
          <w:lang w:eastAsia="zh-CN"/>
        </w:rPr>
        <w:t>年初预算数8,198.67万元，决算数9,675.77万元，预决算差异率18.02%，主要原因是：在预算执行中新增年度考核奖、调增基本工资、职业年金</w:t>
      </w:r>
      <w:r>
        <w:rPr>
          <w:rFonts w:hint="eastAsia" w:ascii="仿宋_GB2312" w:eastAsia="仿宋_GB2312"/>
          <w:sz w:val="32"/>
          <w:szCs w:val="32"/>
          <w:lang w:eastAsia="zh-CN"/>
        </w:rPr>
        <w:t>、丧葬费抚恤金</w:t>
      </w:r>
      <w:r>
        <w:rPr>
          <w:rFonts w:ascii="仿宋_GB2312" w:eastAsia="仿宋_GB2312"/>
          <w:sz w:val="32"/>
          <w:szCs w:val="32"/>
          <w:lang w:eastAsia="zh-CN"/>
        </w:rPr>
        <w:t>等</w:t>
      </w:r>
      <w:r>
        <w:rPr>
          <w:rFonts w:hint="eastAsia" w:ascii="仿宋_GB2312" w:eastAsia="仿宋_GB2312"/>
          <w:sz w:val="32"/>
          <w:szCs w:val="32"/>
          <w:lang w:eastAsia="zh-CN"/>
        </w:rPr>
        <w:t>支出</w:t>
      </w:r>
      <w:r>
        <w:rPr>
          <w:rFonts w:ascii="仿宋_GB2312" w:eastAsia="仿宋_GB2312"/>
          <w:sz w:val="32"/>
          <w:szCs w:val="32"/>
          <w:lang w:eastAsia="zh-CN"/>
        </w:rPr>
        <w:t>。</w:t>
      </w:r>
    </w:p>
    <w:p w14:paraId="1F19299A">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60222F9A">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（一）一般公共预算财政拨款支出决算总体情况</w:t>
      </w:r>
    </w:p>
    <w:p w14:paraId="54429C6E">
      <w:pPr>
        <w:keepNext w:val="0"/>
        <w:keepLines w:val="0"/>
        <w:pageBreakBefore w:val="0"/>
        <w:widowControl/>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sz w:val="32"/>
          <w:szCs w:val="32"/>
          <w:lang w:eastAsia="zh-CN"/>
        </w:rPr>
      </w:pPr>
      <w:r>
        <w:rPr>
          <w:rFonts w:ascii="仿宋_GB2312" w:eastAsia="仿宋_GB2312"/>
          <w:b/>
          <w:bCs/>
          <w:sz w:val="32"/>
          <w:szCs w:val="32"/>
          <w:lang w:eastAsia="zh-CN"/>
        </w:rPr>
        <w:t>2024年度一般公共预算财政拨款支出9,675.77万元，</w:t>
      </w:r>
      <w:r>
        <w:rPr>
          <w:rFonts w:ascii="仿宋_GB2312" w:eastAsia="仿宋_GB2312"/>
          <w:sz w:val="32"/>
          <w:szCs w:val="32"/>
          <w:lang w:eastAsia="zh-CN"/>
        </w:rPr>
        <w:t>占本年支出合计的59.40%。</w:t>
      </w:r>
      <w:r>
        <w:rPr>
          <w:rFonts w:ascii="仿宋_GB2312" w:eastAsia="仿宋_GB2312"/>
          <w:b/>
          <w:bCs/>
          <w:sz w:val="32"/>
          <w:szCs w:val="32"/>
          <w:lang w:eastAsia="zh-CN"/>
        </w:rPr>
        <w:t>与上年相比，</w:t>
      </w:r>
      <w:r>
        <w:rPr>
          <w:rFonts w:ascii="仿宋_GB2312" w:eastAsia="仿宋_GB2312"/>
          <w:sz w:val="32"/>
          <w:szCs w:val="32"/>
          <w:lang w:eastAsia="zh-CN"/>
        </w:rPr>
        <w:t>增加1,244.44万元，增长14.76%，主要原因是：</w:t>
      </w:r>
      <w:r>
        <w:rPr>
          <w:rFonts w:hint="eastAsia" w:ascii="仿宋_GB2312" w:eastAsia="仿宋_GB2312"/>
          <w:sz w:val="32"/>
          <w:szCs w:val="32"/>
          <w:lang w:eastAsia="zh-CN"/>
        </w:rPr>
        <w:t>一是</w:t>
      </w:r>
      <w:r>
        <w:rPr>
          <w:rFonts w:ascii="仿宋_GB2312" w:eastAsia="仿宋_GB2312"/>
          <w:sz w:val="32"/>
          <w:szCs w:val="32"/>
          <w:lang w:eastAsia="zh-CN"/>
        </w:rPr>
        <w:t>因工资普调、社保基数上涨，人员经费</w:t>
      </w:r>
      <w:r>
        <w:rPr>
          <w:rFonts w:hint="eastAsia" w:ascii="仿宋_GB2312" w:eastAsia="仿宋_GB2312"/>
          <w:sz w:val="32"/>
          <w:szCs w:val="32"/>
          <w:lang w:eastAsia="zh-CN"/>
        </w:rPr>
        <w:t>支出</w:t>
      </w:r>
      <w:r>
        <w:rPr>
          <w:rFonts w:ascii="仿宋_GB2312" w:eastAsia="仿宋_GB2312"/>
          <w:sz w:val="32"/>
          <w:szCs w:val="32"/>
          <w:lang w:eastAsia="zh-CN"/>
        </w:rPr>
        <w:t>较上年增加；</w:t>
      </w:r>
      <w:r>
        <w:rPr>
          <w:rFonts w:hint="eastAsia" w:ascii="仿宋_GB2312" w:eastAsia="仿宋_GB2312"/>
          <w:sz w:val="32"/>
          <w:szCs w:val="32"/>
          <w:lang w:eastAsia="zh-CN"/>
        </w:rPr>
        <w:t>二是项目支出中，本年度</w:t>
      </w:r>
      <w:r>
        <w:rPr>
          <w:rFonts w:ascii="仿宋_GB2312" w:eastAsia="仿宋_GB2312"/>
          <w:sz w:val="32"/>
          <w:szCs w:val="32"/>
          <w:lang w:eastAsia="zh-CN"/>
        </w:rPr>
        <w:t>追加财政拨款项目和</w:t>
      </w:r>
      <w:r>
        <w:rPr>
          <w:rFonts w:hint="eastAsia" w:ascii="仿宋_GB2312" w:eastAsia="仿宋_GB2312"/>
          <w:sz w:val="32"/>
          <w:szCs w:val="32"/>
          <w:lang w:eastAsia="zh-CN"/>
        </w:rPr>
        <w:t>重点研发</w:t>
      </w:r>
      <w:r>
        <w:rPr>
          <w:rFonts w:ascii="仿宋_GB2312" w:eastAsia="仿宋_GB2312"/>
          <w:sz w:val="32"/>
          <w:szCs w:val="32"/>
          <w:lang w:eastAsia="zh-CN"/>
        </w:rPr>
        <w:t>项目</w:t>
      </w:r>
      <w:r>
        <w:rPr>
          <w:rFonts w:hint="eastAsia" w:ascii="仿宋_GB2312" w:eastAsia="仿宋_GB2312"/>
          <w:sz w:val="32"/>
          <w:szCs w:val="32"/>
          <w:lang w:eastAsia="zh-CN"/>
        </w:rPr>
        <w:t>，因此项目支出增加</w:t>
      </w:r>
      <w:r>
        <w:rPr>
          <w:rFonts w:ascii="仿宋_GB2312" w:eastAsia="仿宋_GB2312"/>
          <w:sz w:val="32"/>
          <w:szCs w:val="32"/>
          <w:lang w:eastAsia="zh-CN"/>
        </w:rPr>
        <w:t>。</w:t>
      </w:r>
      <w:r>
        <w:rPr>
          <w:rFonts w:ascii="仿宋_GB2312" w:eastAsia="仿宋_GB2312"/>
          <w:b/>
          <w:bCs/>
          <w:sz w:val="32"/>
          <w:szCs w:val="32"/>
          <w:lang w:eastAsia="zh-CN"/>
        </w:rPr>
        <w:t>与年初预算相比，</w:t>
      </w:r>
      <w:r>
        <w:rPr>
          <w:rFonts w:ascii="仿宋_GB2312" w:eastAsia="仿宋_GB2312"/>
          <w:sz w:val="32"/>
          <w:szCs w:val="32"/>
          <w:lang w:eastAsia="zh-CN"/>
        </w:rPr>
        <w:t>年初预算数8,198.67万元，决算数9,675.77万元，预决算差异率18.02%，主要原因是：在预算执行中新增年度考核奖、调增基本工资、职业年金</w:t>
      </w:r>
      <w:r>
        <w:rPr>
          <w:rFonts w:hint="eastAsia" w:ascii="仿宋_GB2312" w:eastAsia="仿宋_GB2312"/>
          <w:sz w:val="32"/>
          <w:szCs w:val="32"/>
          <w:lang w:eastAsia="zh-CN"/>
        </w:rPr>
        <w:t>、丧葬费抚恤金</w:t>
      </w:r>
      <w:r>
        <w:rPr>
          <w:rFonts w:ascii="仿宋_GB2312" w:eastAsia="仿宋_GB2312"/>
          <w:sz w:val="32"/>
          <w:szCs w:val="32"/>
          <w:lang w:eastAsia="zh-CN"/>
        </w:rPr>
        <w:t>等</w:t>
      </w:r>
      <w:r>
        <w:rPr>
          <w:rFonts w:hint="eastAsia" w:ascii="仿宋_GB2312" w:eastAsia="仿宋_GB2312"/>
          <w:sz w:val="32"/>
          <w:szCs w:val="32"/>
          <w:lang w:eastAsia="zh-CN"/>
        </w:rPr>
        <w:t>支出</w:t>
      </w:r>
      <w:r>
        <w:rPr>
          <w:rFonts w:ascii="仿宋_GB2312" w:eastAsia="仿宋_GB2312"/>
          <w:sz w:val="32"/>
          <w:szCs w:val="32"/>
          <w:lang w:eastAsia="zh-CN"/>
        </w:rPr>
        <w:t>，因此一般公共预算财政拨款支出合计增加。</w:t>
      </w:r>
    </w:p>
    <w:p w14:paraId="24ACEC1A">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（二）一般公共预算财政拨款支出决算结构情况</w:t>
      </w:r>
    </w:p>
    <w:p w14:paraId="1197635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科学技术支出（类）5,090.21万元，占52.61%。</w:t>
      </w:r>
    </w:p>
    <w:p w14:paraId="29F2206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社会保障和就业支出（类）75.00万元，占0.78%。</w:t>
      </w:r>
    </w:p>
    <w:p w14:paraId="7E7BDE82">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节能环保支出（类）172.88万元，占1.79%。</w:t>
      </w:r>
    </w:p>
    <w:p w14:paraId="15E0573C">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农林水支出（类）4,337.68万元，占44.83%。</w:t>
      </w:r>
    </w:p>
    <w:p w14:paraId="551A9976">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（三）一般公共预算财政拨款支出决算具体情况</w:t>
      </w:r>
    </w:p>
    <w:p w14:paraId="33CA493E">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1、科学技术支出（类）基础研究（款）科技人才队伍建设（项）：支出决算数为250.29万元，比上年决算减少448.49万元，下降64.18%，主要原因是：202</w:t>
      </w:r>
      <w:r>
        <w:rPr>
          <w:rFonts w:hint="eastAsia" w:ascii="仿宋_GB2312" w:eastAsia="仿宋_GB2312"/>
          <w:sz w:val="32"/>
          <w:szCs w:val="32"/>
          <w:lang w:eastAsia="zh-CN"/>
        </w:rPr>
        <w:t>4年度支出决算数中包含2023年度结转的“天山英才”计划—三农骨干人才，2024年度未</w:t>
      </w:r>
      <w:r>
        <w:rPr>
          <w:rFonts w:hint="eastAsia" w:ascii="仿宋_GB2312" w:eastAsia="仿宋_GB2312"/>
          <w:sz w:val="32"/>
          <w:szCs w:val="32"/>
          <w:lang w:val="en-US" w:eastAsia="zh-CN"/>
        </w:rPr>
        <w:t>承担</w:t>
      </w:r>
      <w:r>
        <w:rPr>
          <w:rFonts w:hint="eastAsia" w:ascii="仿宋_GB2312" w:eastAsia="仿宋_GB2312"/>
          <w:sz w:val="32"/>
          <w:szCs w:val="32"/>
          <w:lang w:eastAsia="zh-CN"/>
        </w:rPr>
        <w:t>新项目</w:t>
      </w:r>
      <w:r>
        <w:rPr>
          <w:rFonts w:ascii="仿宋_GB2312" w:eastAsia="仿宋_GB2312"/>
          <w:sz w:val="32"/>
          <w:szCs w:val="32"/>
          <w:lang w:eastAsia="zh-CN"/>
        </w:rPr>
        <w:t>。</w:t>
      </w:r>
    </w:p>
    <w:p w14:paraId="679CF66C">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2、科学技术支出（类）应用研究（款）机构运行（项）：支出决算数为4,702.00万元，比上年决算减少212.12万元，下降4.32%，主要原因是：</w:t>
      </w:r>
      <w:r>
        <w:rPr>
          <w:rFonts w:hint="eastAsia" w:ascii="仿宋_GB2312" w:eastAsia="仿宋_GB2312"/>
          <w:sz w:val="32"/>
          <w:szCs w:val="32"/>
          <w:lang w:eastAsia="zh-CN"/>
        </w:rPr>
        <w:t>一是退休人员减少</w:t>
      </w:r>
      <w:r>
        <w:rPr>
          <w:rFonts w:hint="default" w:ascii="仿宋_GB2312" w:eastAsia="仿宋_GB2312"/>
          <w:sz w:val="32"/>
          <w:szCs w:val="32"/>
          <w:lang w:val="en-US" w:eastAsia="zh-CN"/>
        </w:rPr>
        <w:t>4</w:t>
      </w:r>
      <w:r>
        <w:rPr>
          <w:rFonts w:hint="eastAsia" w:ascii="仿宋_GB2312" w:eastAsia="仿宋_GB2312"/>
          <w:sz w:val="32"/>
          <w:szCs w:val="32"/>
          <w:lang w:val="en-US" w:eastAsia="zh-CN"/>
        </w:rPr>
        <w:t>人，导致相应经费减少；二是</w:t>
      </w:r>
      <w:r>
        <w:rPr>
          <w:rFonts w:ascii="仿宋_GB2312" w:eastAsia="仿宋_GB2312"/>
          <w:b w:val="0"/>
          <w:sz w:val="32"/>
          <w:szCs w:val="32"/>
        </w:rPr>
        <w:t>本单位为全额拨款事业单位，财政根据实际情况进行核定</w:t>
      </w:r>
      <w:r>
        <w:rPr>
          <w:rFonts w:hint="eastAsia" w:ascii="仿宋_GB2312" w:eastAsia="仿宋_GB2312"/>
          <w:b w:val="0"/>
          <w:sz w:val="32"/>
          <w:szCs w:val="32"/>
          <w:lang w:val="en-US" w:eastAsia="zh-CN"/>
        </w:rPr>
        <w:t>有所减少，因此支出减少</w:t>
      </w:r>
      <w:r>
        <w:rPr>
          <w:rFonts w:ascii="仿宋_GB2312" w:eastAsia="仿宋_GB2312"/>
          <w:sz w:val="32"/>
          <w:szCs w:val="32"/>
          <w:lang w:eastAsia="zh-CN"/>
        </w:rPr>
        <w:t>。</w:t>
      </w:r>
    </w:p>
    <w:p w14:paraId="7FB4BFCE">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3、科学技术支出（类）应用研究（款）社会公益研究（项）：支出决算数为100.00万元，与上年相比无变化，主要原因是：</w:t>
      </w:r>
      <w:r>
        <w:rPr>
          <w:rFonts w:hint="default" w:ascii="仿宋_GB2312" w:eastAsia="仿宋_GB2312"/>
          <w:sz w:val="32"/>
          <w:szCs w:val="32"/>
          <w:lang w:val="en-US" w:eastAsia="zh-CN"/>
        </w:rPr>
        <w:t>2023</w:t>
      </w:r>
      <w:r>
        <w:rPr>
          <w:rFonts w:hint="eastAsia" w:ascii="仿宋_GB2312" w:eastAsia="仿宋_GB2312"/>
          <w:sz w:val="32"/>
          <w:szCs w:val="32"/>
          <w:lang w:val="en-US" w:eastAsia="zh-CN"/>
        </w:rPr>
        <w:t>年度与</w:t>
      </w:r>
      <w:r>
        <w:rPr>
          <w:rFonts w:hint="default" w:ascii="仿宋_GB2312" w:eastAsia="仿宋_GB2312"/>
          <w:sz w:val="32"/>
          <w:szCs w:val="32"/>
          <w:lang w:val="en-US" w:eastAsia="zh-CN"/>
        </w:rPr>
        <w:t>2024</w:t>
      </w:r>
      <w:r>
        <w:rPr>
          <w:rFonts w:hint="eastAsia" w:ascii="仿宋_GB2312" w:eastAsia="仿宋_GB2312"/>
          <w:sz w:val="32"/>
          <w:szCs w:val="32"/>
          <w:lang w:val="en-US" w:eastAsia="zh-CN"/>
        </w:rPr>
        <w:t>年度承担</w:t>
      </w:r>
      <w:r>
        <w:rPr>
          <w:rFonts w:ascii="仿宋_GB2312" w:eastAsia="仿宋_GB2312"/>
          <w:sz w:val="32"/>
          <w:szCs w:val="32"/>
          <w:lang w:eastAsia="zh-CN"/>
        </w:rPr>
        <w:t>此项目金额</w:t>
      </w:r>
      <w:r>
        <w:rPr>
          <w:rFonts w:hint="eastAsia" w:ascii="仿宋_GB2312" w:eastAsia="仿宋_GB2312"/>
          <w:sz w:val="32"/>
          <w:szCs w:val="32"/>
          <w:lang w:val="en-US" w:eastAsia="zh-CN"/>
        </w:rPr>
        <w:t>一致</w:t>
      </w:r>
      <w:r>
        <w:rPr>
          <w:rFonts w:ascii="仿宋_GB2312" w:eastAsia="仿宋_GB2312"/>
          <w:sz w:val="32"/>
          <w:szCs w:val="32"/>
          <w:lang w:eastAsia="zh-CN"/>
        </w:rPr>
        <w:t>。</w:t>
      </w:r>
    </w:p>
    <w:p w14:paraId="48882184">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4、科学技术支出（类）科技条件与服务（款）其他科技条件与服务支出（项）：支出决算数为37.92万元，比上年决算增加4.03万元，增长11.89%，主要原因是：</w:t>
      </w:r>
      <w:r>
        <w:rPr>
          <w:rFonts w:hint="eastAsia" w:ascii="仿宋_GB2312" w:eastAsia="仿宋_GB2312"/>
          <w:sz w:val="32"/>
          <w:szCs w:val="32"/>
          <w:highlight w:val="none"/>
          <w:lang w:eastAsia="zh-CN"/>
        </w:rPr>
        <w:t>本年度新增第二批</w:t>
      </w:r>
      <w:r>
        <w:rPr>
          <w:rFonts w:hint="eastAsia" w:ascii="仿宋_GB2312" w:hAnsi="仿宋_GB2312" w:eastAsia="仿宋_GB2312" w:cs="仿宋_GB2312"/>
          <w:b w:val="0"/>
          <w:sz w:val="32"/>
          <w:szCs w:val="32"/>
          <w:highlight w:val="none"/>
          <w:lang w:eastAsia="zh-CN"/>
        </w:rPr>
        <w:t>“</w:t>
      </w:r>
      <w:r>
        <w:rPr>
          <w:rFonts w:hint="eastAsia" w:ascii="仿宋_GB2312" w:hAnsi="仿宋_GB2312" w:eastAsia="仿宋_GB2312" w:cs="仿宋_GB2312"/>
          <w:b w:val="0"/>
          <w:sz w:val="32"/>
          <w:szCs w:val="32"/>
          <w:highlight w:val="none"/>
        </w:rPr>
        <w:t>三区</w:t>
      </w:r>
      <w:r>
        <w:rPr>
          <w:rFonts w:hint="eastAsia" w:ascii="仿宋_GB2312" w:hAnsi="仿宋_GB2312" w:eastAsia="仿宋_GB2312" w:cs="仿宋_GB2312"/>
          <w:b w:val="0"/>
          <w:sz w:val="32"/>
          <w:szCs w:val="32"/>
          <w:highlight w:val="none"/>
          <w:lang w:eastAsia="zh-CN"/>
        </w:rPr>
        <w:t>”</w:t>
      </w:r>
      <w:r>
        <w:rPr>
          <w:rFonts w:ascii="仿宋_GB2312" w:eastAsia="仿宋_GB2312"/>
          <w:b w:val="0"/>
          <w:sz w:val="32"/>
          <w:szCs w:val="32"/>
          <w:highlight w:val="none"/>
        </w:rPr>
        <w:t>人才</w:t>
      </w:r>
      <w:r>
        <w:rPr>
          <w:rFonts w:hint="eastAsia" w:ascii="仿宋_GB2312" w:eastAsia="仿宋_GB2312"/>
          <w:b w:val="0"/>
          <w:sz w:val="32"/>
          <w:szCs w:val="32"/>
          <w:highlight w:val="none"/>
          <w:lang w:eastAsia="zh-CN"/>
        </w:rPr>
        <w:t>发展基金项目</w:t>
      </w:r>
      <w:r>
        <w:rPr>
          <w:rFonts w:ascii="仿宋_GB2312" w:eastAsia="仿宋_GB2312"/>
          <w:sz w:val="32"/>
          <w:szCs w:val="32"/>
          <w:highlight w:val="none"/>
          <w:lang w:eastAsia="zh-CN"/>
        </w:rPr>
        <w:t>，因此支出决算数比上年决算增加</w:t>
      </w:r>
      <w:r>
        <w:rPr>
          <w:rFonts w:ascii="仿宋_GB2312" w:eastAsia="仿宋_GB2312"/>
          <w:sz w:val="32"/>
          <w:szCs w:val="32"/>
          <w:lang w:eastAsia="zh-CN"/>
        </w:rPr>
        <w:t>。</w:t>
      </w:r>
    </w:p>
    <w:p w14:paraId="70D6916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5、社会保障和就业支出（类）人力资源和社会保障管理事务（款）其他人力资源和社会保障管理事务支出（项）：支出决算数为75.00万元，比上年决算增加75.00万元，增长100.00%，主要原因是：</w:t>
      </w:r>
      <w:r>
        <w:rPr>
          <w:rFonts w:ascii="仿宋_GB2312" w:eastAsia="仿宋_GB2312"/>
          <w:color w:val="auto"/>
          <w:sz w:val="32"/>
          <w:szCs w:val="32"/>
          <w:highlight w:val="none"/>
          <w:lang w:eastAsia="zh-CN"/>
        </w:rPr>
        <w:t>本年</w:t>
      </w:r>
      <w:r>
        <w:rPr>
          <w:rFonts w:hint="eastAsia" w:ascii="仿宋_GB2312" w:eastAsia="仿宋_GB2312"/>
          <w:color w:val="auto"/>
          <w:sz w:val="32"/>
          <w:szCs w:val="32"/>
          <w:highlight w:val="none"/>
          <w:lang w:eastAsia="zh-CN"/>
        </w:rPr>
        <w:t>新增天池英才项目，因此支出决算数比上年决算数增加</w:t>
      </w:r>
      <w:r>
        <w:rPr>
          <w:rFonts w:ascii="仿宋_GB2312" w:eastAsia="仿宋_GB2312"/>
          <w:sz w:val="32"/>
          <w:szCs w:val="32"/>
          <w:lang w:eastAsia="zh-CN"/>
        </w:rPr>
        <w:t>。</w:t>
      </w:r>
    </w:p>
    <w:p w14:paraId="0D55BAAF">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6、节能环保支出（类）自然生态保护（款）生物及物种资源保护（项）：支出决算数为160.04万元，比上年决算减少59.92万元，下降27.24%，主要原因是：</w:t>
      </w:r>
      <w:r>
        <w:rPr>
          <w:rFonts w:ascii="仿宋_GB2312" w:eastAsia="仿宋_GB2312"/>
          <w:color w:val="auto"/>
          <w:sz w:val="32"/>
          <w:szCs w:val="32"/>
          <w:highlight w:val="none"/>
          <w:lang w:eastAsia="zh-CN"/>
        </w:rPr>
        <w:t>本年</w:t>
      </w:r>
      <w:r>
        <w:rPr>
          <w:rFonts w:hint="eastAsia" w:ascii="仿宋_GB2312" w:eastAsia="仿宋_GB2312"/>
          <w:color w:val="auto"/>
          <w:sz w:val="32"/>
          <w:szCs w:val="32"/>
          <w:highlight w:val="none"/>
          <w:lang w:eastAsia="zh-CN"/>
        </w:rPr>
        <w:t>林草生物及物种资源保护项目</w:t>
      </w:r>
      <w:r>
        <w:rPr>
          <w:rFonts w:ascii="仿宋_GB2312" w:eastAsia="仿宋_GB2312"/>
          <w:sz w:val="32"/>
          <w:szCs w:val="32"/>
          <w:lang w:eastAsia="zh-CN"/>
        </w:rPr>
        <w:t>经费减少，因此支出决算数比上年决算下降。</w:t>
      </w:r>
    </w:p>
    <w:p w14:paraId="6587019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7、节能环保支出（类）自然生态保护（款）自然保护地（项）：支出决算数为12.84万元，比上年决算减少58.32万元，下降81.96%，主要原因是：</w:t>
      </w:r>
      <w:r>
        <w:rPr>
          <w:rFonts w:ascii="仿宋_GB2312" w:eastAsia="仿宋_GB2312"/>
          <w:color w:val="auto"/>
          <w:sz w:val="32"/>
          <w:szCs w:val="32"/>
          <w:highlight w:val="none"/>
          <w:lang w:eastAsia="zh-CN"/>
        </w:rPr>
        <w:t>本年</w:t>
      </w:r>
      <w:r>
        <w:rPr>
          <w:rFonts w:hint="eastAsia" w:ascii="仿宋_GB2312" w:eastAsia="仿宋_GB2312"/>
          <w:color w:val="auto"/>
          <w:sz w:val="32"/>
          <w:szCs w:val="32"/>
          <w:highlight w:val="none"/>
          <w:lang w:eastAsia="zh-CN"/>
        </w:rPr>
        <w:t>自然生态保护地项目</w:t>
      </w:r>
      <w:r>
        <w:rPr>
          <w:rFonts w:ascii="仿宋_GB2312" w:eastAsia="仿宋_GB2312"/>
          <w:sz w:val="32"/>
          <w:szCs w:val="32"/>
          <w:lang w:eastAsia="zh-CN"/>
        </w:rPr>
        <w:t>经费减少，因此支出决算数比上年决算下降。</w:t>
      </w:r>
    </w:p>
    <w:p w14:paraId="0B687D2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8、农林水支出（类）农业农村（款）科技转化与推广服务（项）：支出决算数为188.00万元，比上年决算增加188.00万元，增长100.00%，主要原因是：本年</w:t>
      </w:r>
      <w:r>
        <w:rPr>
          <w:rFonts w:hint="eastAsia" w:ascii="仿宋_GB2312" w:eastAsia="仿宋_GB2312"/>
          <w:sz w:val="32"/>
          <w:szCs w:val="32"/>
          <w:lang w:eastAsia="zh-CN"/>
        </w:rPr>
        <w:t>新增新疆林木资源与利用国家林业和草原局重点实验室平台建设项目，因此支出决算数比上年决算数增加</w:t>
      </w:r>
      <w:r>
        <w:rPr>
          <w:rFonts w:ascii="仿宋_GB2312" w:eastAsia="仿宋_GB2312"/>
          <w:sz w:val="32"/>
          <w:szCs w:val="32"/>
          <w:lang w:eastAsia="zh-CN"/>
        </w:rPr>
        <w:t>。</w:t>
      </w:r>
    </w:p>
    <w:p w14:paraId="450B585E">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9、农林水支出（类）林业和草原（款）森林资源培育（项）：支出决算数为60.00万元，比上年决算减少6.00万元，下降9.09%，主要原因是：</w:t>
      </w:r>
      <w:r>
        <w:rPr>
          <w:rFonts w:hint="eastAsia" w:ascii="仿宋_GB2312" w:eastAsia="仿宋_GB2312"/>
          <w:sz w:val="32"/>
          <w:szCs w:val="32"/>
          <w:highlight w:val="none"/>
          <w:lang w:eastAsia="zh-CN"/>
        </w:rPr>
        <w:t>本年度佳木试验站良种培育项目资金减少，</w:t>
      </w:r>
      <w:r>
        <w:rPr>
          <w:rFonts w:hint="eastAsia" w:ascii="仿宋_GB2312" w:eastAsia="仿宋_GB2312"/>
          <w:color w:val="auto"/>
          <w:sz w:val="32"/>
          <w:szCs w:val="32"/>
          <w:highlight w:val="none"/>
          <w:lang w:eastAsia="zh-CN"/>
        </w:rPr>
        <w:t>因此支出决算数比上年决算数减少</w:t>
      </w:r>
      <w:r>
        <w:rPr>
          <w:rFonts w:ascii="仿宋_GB2312" w:eastAsia="仿宋_GB2312"/>
          <w:sz w:val="32"/>
          <w:szCs w:val="32"/>
          <w:lang w:eastAsia="zh-CN"/>
        </w:rPr>
        <w:t>。</w:t>
      </w:r>
    </w:p>
    <w:p w14:paraId="0C010046">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10、农林水支出（类）林业和草原（款）技术推广与转化（项）：支出决算数为1,010.68万元，比上年决算增加380.96万元，增长60.50%，主要原因是：</w:t>
      </w:r>
      <w:r>
        <w:rPr>
          <w:rFonts w:ascii="仿宋_GB2312" w:eastAsia="仿宋_GB2312"/>
          <w:color w:val="auto"/>
          <w:sz w:val="32"/>
          <w:szCs w:val="32"/>
          <w:lang w:eastAsia="zh-CN"/>
        </w:rPr>
        <w:t>本年</w:t>
      </w:r>
      <w:r>
        <w:rPr>
          <w:rFonts w:hint="eastAsia" w:ascii="仿宋_GB2312" w:eastAsia="仿宋_GB2312"/>
          <w:color w:val="auto"/>
          <w:sz w:val="32"/>
          <w:szCs w:val="32"/>
          <w:lang w:eastAsia="zh-CN"/>
        </w:rPr>
        <w:t>新增阿尔泰山定位站观测项目、博湖定位站观测项目、精河定位站观测项目、阿克苏佳木试验站观测项目，因此支出决算数比上年决算数增加</w:t>
      </w:r>
      <w:r>
        <w:rPr>
          <w:rFonts w:ascii="仿宋_GB2312" w:eastAsia="仿宋_GB2312"/>
          <w:color w:val="auto"/>
          <w:sz w:val="32"/>
          <w:szCs w:val="32"/>
          <w:lang w:eastAsia="zh-CN"/>
        </w:rPr>
        <w:t>。</w:t>
      </w:r>
    </w:p>
    <w:p w14:paraId="0E1F84C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11、农林水支出（类）林业和草原（款）动植物保护（项）：支出决算数为0.00万元，比上年决算减少76.65万元，下降100.00%，主要原因是：本年未</w:t>
      </w:r>
      <w:r>
        <w:rPr>
          <w:rFonts w:hint="eastAsia" w:ascii="仿宋_GB2312" w:eastAsia="仿宋_GB2312"/>
          <w:sz w:val="32"/>
          <w:szCs w:val="32"/>
          <w:lang w:val="en-US" w:eastAsia="zh-CN"/>
        </w:rPr>
        <w:t>承担</w:t>
      </w:r>
      <w:r>
        <w:rPr>
          <w:rFonts w:hint="eastAsia" w:ascii="仿宋_GB2312" w:eastAsia="仿宋_GB2312"/>
          <w:sz w:val="32"/>
          <w:szCs w:val="32"/>
          <w:lang w:eastAsia="zh-CN"/>
        </w:rPr>
        <w:t>新疆昆仑山藏羚迁徙路线及迁徙廊道研究项目，因此支出决算数比上年决算减少</w:t>
      </w:r>
      <w:r>
        <w:rPr>
          <w:rFonts w:ascii="仿宋_GB2312" w:eastAsia="仿宋_GB2312"/>
          <w:sz w:val="32"/>
          <w:szCs w:val="32"/>
          <w:lang w:eastAsia="zh-CN"/>
        </w:rPr>
        <w:t>。</w:t>
      </w:r>
    </w:p>
    <w:p w14:paraId="7F1D22A8">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12、农林水支出（类）林业和草原（款）湿地保护（项）：支出决算数为0.00万元，比上年决算减少174.03万元，下降100.00%，主要原因是：</w:t>
      </w:r>
      <w:r>
        <w:rPr>
          <w:rFonts w:ascii="仿宋_GB2312" w:eastAsia="仿宋_GB2312"/>
          <w:color w:val="auto"/>
          <w:sz w:val="32"/>
          <w:szCs w:val="32"/>
          <w:highlight w:val="none"/>
          <w:lang w:eastAsia="zh-CN"/>
        </w:rPr>
        <w:t>本年</w:t>
      </w:r>
      <w:r>
        <w:rPr>
          <w:rFonts w:hint="eastAsia" w:ascii="仿宋_GB2312" w:eastAsia="仿宋_GB2312"/>
          <w:color w:val="auto"/>
          <w:sz w:val="32"/>
          <w:szCs w:val="32"/>
          <w:highlight w:val="none"/>
          <w:lang w:eastAsia="zh-CN"/>
        </w:rPr>
        <w:t>林草湿地保护项目</w:t>
      </w:r>
      <w:r>
        <w:rPr>
          <w:rFonts w:ascii="仿宋_GB2312" w:eastAsia="仿宋_GB2312"/>
          <w:sz w:val="32"/>
          <w:szCs w:val="32"/>
          <w:lang w:eastAsia="zh-CN"/>
        </w:rPr>
        <w:t>经费减少，因此支出决算数比上年决算下降。</w:t>
      </w:r>
    </w:p>
    <w:p w14:paraId="00AD3CDC">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13、农林水支出（类）林业和草原（款）执法与监督（项）：支出决算数为1,701.00万元，比上年决算增加1,701.00万元，增长100.00%，主要原因是：本年</w:t>
      </w:r>
      <w:r>
        <w:rPr>
          <w:rFonts w:hint="eastAsia" w:ascii="仿宋_GB2312" w:eastAsia="仿宋_GB2312"/>
          <w:sz w:val="32"/>
          <w:szCs w:val="32"/>
          <w:lang w:eastAsia="zh-CN"/>
        </w:rPr>
        <w:t>新增新疆林木资源与利用国家林业和草原局重点实验室平台建设项目，因此支出决算数比上年决算数增加</w:t>
      </w:r>
      <w:r>
        <w:rPr>
          <w:rFonts w:ascii="仿宋_GB2312" w:eastAsia="仿宋_GB2312"/>
          <w:sz w:val="32"/>
          <w:szCs w:val="32"/>
          <w:lang w:eastAsia="zh-CN"/>
        </w:rPr>
        <w:t>。</w:t>
      </w:r>
    </w:p>
    <w:p w14:paraId="1B7F1AD7">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14、农林水支出（类）林业和草原（款）草原管理（项）：支出决算数为0.00万元，比上年决算减少550.00万元，下降100.00%，主要原因是：</w:t>
      </w:r>
      <w:r>
        <w:rPr>
          <w:rFonts w:ascii="仿宋_GB2312" w:eastAsia="仿宋_GB2312"/>
          <w:color w:val="auto"/>
          <w:sz w:val="32"/>
          <w:szCs w:val="32"/>
          <w:highlight w:val="none"/>
          <w:lang w:eastAsia="zh-CN"/>
        </w:rPr>
        <w:t>本年</w:t>
      </w:r>
      <w:r>
        <w:rPr>
          <w:rFonts w:hint="eastAsia" w:ascii="仿宋_GB2312" w:eastAsia="仿宋_GB2312"/>
          <w:color w:val="auto"/>
          <w:sz w:val="32"/>
          <w:szCs w:val="32"/>
          <w:highlight w:val="none"/>
          <w:lang w:eastAsia="zh-CN"/>
        </w:rPr>
        <w:t>林草湿地保护项目因部门功能科目细化调整至其他科目，</w:t>
      </w:r>
      <w:r>
        <w:rPr>
          <w:rFonts w:ascii="仿宋_GB2312" w:eastAsia="仿宋_GB2312"/>
          <w:sz w:val="32"/>
          <w:szCs w:val="32"/>
          <w:lang w:eastAsia="zh-CN"/>
        </w:rPr>
        <w:t>因此支出决算数比上年决算下降。</w:t>
      </w:r>
    </w:p>
    <w:p w14:paraId="3A66AC0C">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15、农林水支出（类）林业和草原（款）其他林业和草原支出（项）：支出决算数为1,378.00万元，比上年决算增加480.97万元，增长53.62%，主要原因是：</w:t>
      </w:r>
      <w:r>
        <w:rPr>
          <w:rFonts w:ascii="仿宋_GB2312" w:eastAsia="仿宋_GB2312"/>
          <w:sz w:val="32"/>
          <w:szCs w:val="32"/>
          <w:highlight w:val="none"/>
          <w:lang w:eastAsia="zh-CN"/>
        </w:rPr>
        <w:t>本年</w:t>
      </w:r>
      <w:r>
        <w:rPr>
          <w:rFonts w:hint="eastAsia" w:ascii="仿宋_GB2312" w:eastAsia="仿宋_GB2312"/>
          <w:sz w:val="32"/>
          <w:szCs w:val="32"/>
          <w:highlight w:val="none"/>
          <w:lang w:eastAsia="zh-CN"/>
        </w:rPr>
        <w:t>新增自治区林业和草原提质增效项目，因此支出决算数比上年决算数增加</w:t>
      </w:r>
      <w:r>
        <w:rPr>
          <w:rFonts w:ascii="仿宋_GB2312" w:eastAsia="仿宋_GB2312"/>
          <w:sz w:val="32"/>
          <w:szCs w:val="32"/>
          <w:lang w:eastAsia="zh-CN"/>
        </w:rPr>
        <w:t>。</w:t>
      </w:r>
    </w:p>
    <w:p w14:paraId="6DDECDD5">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6915A122">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2024年度一般公共预算财政拨款基本支出4,702.00万元，其中：人员经费4,257.01万元，包括：基本工资、津贴补贴、奖金、伙食补助费、绩效工资、机关事业单位基本养老保险缴费、职业年金缴费、职工基本医疗保险缴费、公务员医疗补助缴费、其他社会保障缴费、住房公积金、其他工资福利支出、离休费、退休费、抚恤金、生活补助和其他对个人和家庭的补助。</w:t>
      </w:r>
    </w:p>
    <w:p w14:paraId="45BB4ED0">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公用经费444.98万元，包括：办公费、咨询费、手续费、水费、电费、邮电费、取暖费、物业管理费、差旅费、维修（护）费、公务接待费、专用材料费、劳务费、委托业务费、工会经费、福利费、公务用车运行维护费、其他交通费用、税金及附加费用、其他商品和服务支出和办公设备购置。</w:t>
      </w:r>
    </w:p>
    <w:p w14:paraId="153573AE">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0EF43D4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本部门本年度无政府性基金预算财政拨款收入、支出及结转和结余，政府性基金预算财政拨款收入支出决算表为空表。</w:t>
      </w:r>
    </w:p>
    <w:p w14:paraId="21653AB4">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649BF0F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本部门本年度无国有资本经营</w:t>
      </w:r>
      <w:bookmarkStart w:id="0" w:name="_GoBack"/>
      <w:bookmarkEnd w:id="0"/>
      <w:r>
        <w:rPr>
          <w:rFonts w:ascii="仿宋_GB2312" w:eastAsia="仿宋_GB2312"/>
          <w:sz w:val="32"/>
          <w:szCs w:val="32"/>
          <w:lang w:eastAsia="zh-CN"/>
        </w:rPr>
        <w:t>预算财政拨款收入、支出及结转和结余，国有资本经营预算财政拨款收入支出决算表为空表。</w:t>
      </w:r>
    </w:p>
    <w:p w14:paraId="5E4D15B0">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九、财政拨</w:t>
      </w:r>
      <w:r>
        <w:rPr>
          <w:rFonts w:hint="eastAsia" w:ascii="黑体" w:hAnsi="黑体" w:eastAsia="黑体" w:cs="黑体"/>
          <w:sz w:val="32"/>
          <w:szCs w:val="32"/>
          <w:lang w:eastAsia="zh-CN"/>
        </w:rPr>
        <w:t>款“三公”经费支</w:t>
      </w:r>
      <w:r>
        <w:rPr>
          <w:rFonts w:ascii="黑体" w:eastAsia="黑体"/>
          <w:sz w:val="32"/>
          <w:szCs w:val="32"/>
          <w:lang w:eastAsia="zh-CN"/>
        </w:rPr>
        <w:t>出决算情况说明</w:t>
      </w:r>
    </w:p>
    <w:p w14:paraId="63E0ECB1">
      <w:pPr>
        <w:keepNext w:val="0"/>
        <w:keepLines w:val="0"/>
        <w:pageBreakBefore w:val="0"/>
        <w:widowControl/>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sz w:val="32"/>
          <w:szCs w:val="32"/>
          <w:lang w:eastAsia="zh-CN"/>
        </w:rPr>
      </w:pPr>
      <w:r>
        <w:rPr>
          <w:rFonts w:ascii="仿宋_GB2312" w:eastAsia="仿宋_GB2312"/>
          <w:b/>
          <w:bCs/>
          <w:sz w:val="32"/>
          <w:szCs w:val="32"/>
          <w:lang w:eastAsia="zh-CN"/>
        </w:rPr>
        <w:t>2024年度财政拨款</w:t>
      </w:r>
      <w:r>
        <w:rPr>
          <w:rFonts w:hint="eastAsia" w:ascii="仿宋_GB2312" w:eastAsia="仿宋_GB2312"/>
          <w:b/>
          <w:bCs/>
          <w:sz w:val="32"/>
          <w:szCs w:val="32"/>
          <w:lang w:eastAsia="zh-CN"/>
        </w:rPr>
        <w:t>“三公”</w:t>
      </w:r>
      <w:r>
        <w:rPr>
          <w:rFonts w:ascii="仿宋_GB2312" w:eastAsia="仿宋_GB2312"/>
          <w:b/>
          <w:bCs/>
          <w:sz w:val="32"/>
          <w:szCs w:val="32"/>
          <w:lang w:eastAsia="zh-CN"/>
        </w:rPr>
        <w:t>经费支出7.05万元，</w:t>
      </w:r>
      <w:r>
        <w:rPr>
          <w:rFonts w:ascii="仿宋_GB2312" w:eastAsia="仿宋_GB2312"/>
          <w:sz w:val="32"/>
          <w:szCs w:val="32"/>
          <w:lang w:eastAsia="zh-CN"/>
        </w:rPr>
        <w:t>比上年增加0.03万元，增长0.43%，主要原因是：</w:t>
      </w:r>
      <w:r>
        <w:rPr>
          <w:rFonts w:hint="eastAsia" w:ascii="仿宋_GB2312" w:eastAsia="仿宋_GB2312"/>
          <w:sz w:val="32"/>
          <w:szCs w:val="32"/>
          <w:lang w:eastAsia="zh-CN"/>
        </w:rPr>
        <w:t>一是</w:t>
      </w:r>
      <w:r>
        <w:rPr>
          <w:rFonts w:ascii="仿宋_GB2312" w:eastAsia="仿宋_GB2312"/>
          <w:sz w:val="32"/>
          <w:szCs w:val="32"/>
          <w:lang w:eastAsia="zh-CN"/>
        </w:rPr>
        <w:t>本年</w:t>
      </w:r>
      <w:r>
        <w:rPr>
          <w:rFonts w:hint="eastAsia" w:ascii="仿宋_GB2312" w:eastAsia="仿宋_GB2312"/>
          <w:sz w:val="32"/>
          <w:szCs w:val="32"/>
          <w:lang w:eastAsia="zh-CN"/>
        </w:rPr>
        <w:t>单位</w:t>
      </w:r>
      <w:r>
        <w:rPr>
          <w:rFonts w:ascii="仿宋_GB2312" w:eastAsia="仿宋_GB2312"/>
          <w:sz w:val="32"/>
          <w:szCs w:val="32"/>
          <w:lang w:eastAsia="zh-CN"/>
        </w:rPr>
        <w:t>业务</w:t>
      </w:r>
      <w:r>
        <w:rPr>
          <w:rFonts w:hint="eastAsia" w:ascii="仿宋_GB2312" w:eastAsia="仿宋_GB2312"/>
          <w:sz w:val="32"/>
          <w:szCs w:val="32"/>
          <w:lang w:eastAsia="zh-CN"/>
        </w:rPr>
        <w:t>交流次数</w:t>
      </w:r>
      <w:r>
        <w:rPr>
          <w:rFonts w:ascii="仿宋_GB2312" w:eastAsia="仿宋_GB2312"/>
          <w:sz w:val="32"/>
          <w:szCs w:val="32"/>
          <w:lang w:eastAsia="zh-CN"/>
        </w:rPr>
        <w:t>增加，</w:t>
      </w:r>
      <w:r>
        <w:rPr>
          <w:rFonts w:hint="eastAsia" w:ascii="仿宋_GB2312" w:eastAsia="仿宋_GB2312"/>
          <w:sz w:val="32"/>
          <w:szCs w:val="32"/>
          <w:lang w:eastAsia="zh-CN"/>
        </w:rPr>
        <w:t>因此</w:t>
      </w:r>
      <w:r>
        <w:rPr>
          <w:rFonts w:ascii="仿宋_GB2312" w:eastAsia="仿宋_GB2312"/>
          <w:sz w:val="32"/>
          <w:szCs w:val="32"/>
          <w:lang w:eastAsia="zh-CN"/>
        </w:rPr>
        <w:t>公务接待增加0.05万元</w:t>
      </w:r>
      <w:r>
        <w:rPr>
          <w:rFonts w:hint="eastAsia" w:ascii="仿宋_GB2312" w:eastAsia="仿宋_GB2312"/>
          <w:sz w:val="32"/>
          <w:szCs w:val="32"/>
          <w:lang w:eastAsia="zh-CN"/>
        </w:rPr>
        <w:t>；二是严格控制公务用车运行费，</w:t>
      </w:r>
      <w:r>
        <w:rPr>
          <w:rFonts w:ascii="仿宋_GB2312" w:eastAsia="仿宋_GB2312"/>
          <w:sz w:val="32"/>
          <w:szCs w:val="32"/>
          <w:lang w:eastAsia="zh-CN"/>
        </w:rPr>
        <w:t>公务用车运行费减少0.02万元。其中：因公出国（境）费支出0.00万元,占0.00%，与上年相比无变化，主要原因是：我单位2023年度与2024年度均未安排因公出国（境）费；公务用车购置及运行维护费支出7.00万元，占99.29%，比上年减少0.02万元，下降0.28%，主要原因是：我单位严格控制</w:t>
      </w:r>
      <w:r>
        <w:rPr>
          <w:rFonts w:hint="eastAsia" w:ascii="仿宋_GB2312" w:eastAsia="仿宋_GB2312"/>
          <w:sz w:val="32"/>
          <w:szCs w:val="32"/>
          <w:lang w:eastAsia="zh-CN"/>
        </w:rPr>
        <w:t>“三公”</w:t>
      </w:r>
      <w:r>
        <w:rPr>
          <w:rFonts w:ascii="仿宋_GB2312" w:eastAsia="仿宋_GB2312"/>
          <w:sz w:val="32"/>
          <w:szCs w:val="32"/>
          <w:lang w:eastAsia="zh-CN"/>
        </w:rPr>
        <w:t>经费支出，严格控制使用公务车辆运行经费；公务接待费支出0.05万元，占0.71%，比上年增加0.05万元，增长100%，主要原因是：本年业务</w:t>
      </w:r>
      <w:r>
        <w:rPr>
          <w:rFonts w:hint="eastAsia" w:ascii="仿宋_GB2312" w:eastAsia="仿宋_GB2312"/>
          <w:sz w:val="32"/>
          <w:szCs w:val="32"/>
          <w:lang w:eastAsia="zh-CN"/>
        </w:rPr>
        <w:t>交流次数</w:t>
      </w:r>
      <w:r>
        <w:rPr>
          <w:rFonts w:ascii="仿宋_GB2312" w:eastAsia="仿宋_GB2312"/>
          <w:sz w:val="32"/>
          <w:szCs w:val="32"/>
          <w:lang w:eastAsia="zh-CN"/>
        </w:rPr>
        <w:t>增加，公务接待由上年的零支出增加0.05万元。</w:t>
      </w:r>
    </w:p>
    <w:p w14:paraId="7E17167A">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b/>
          <w:bCs/>
          <w:sz w:val="32"/>
          <w:szCs w:val="32"/>
          <w:lang w:eastAsia="zh-CN"/>
        </w:rPr>
      </w:pPr>
      <w:r>
        <w:rPr>
          <w:rFonts w:ascii="仿宋_GB2312" w:eastAsia="仿宋_GB2312"/>
          <w:b/>
          <w:bCs/>
          <w:sz w:val="32"/>
          <w:szCs w:val="32"/>
          <w:lang w:eastAsia="zh-CN"/>
        </w:rPr>
        <w:t>具体情况如下：</w:t>
      </w:r>
    </w:p>
    <w:p w14:paraId="1120569B">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因公出国（境）费支出0.00万元，开支内容包括我单位无因公出国（境）费。单位全年安排的因公出国（境）团组0个，因公出国（境）0人次。</w:t>
      </w:r>
    </w:p>
    <w:p w14:paraId="70AB9B13">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公务用车购置及运行维护费7.00万元，其中：公务用车购置费0.00万元，公务用车运行维护费7.00万元。公务用车运行维护费开支内容包括燃料费、维修费、过路过桥费、车辆保险费。公务用车购置数0辆，公务用车保有量10辆。国有资产占用情况中固定资产车辆12辆，与公务用车保有量差异原因是：新疆林科院经济林研究所和新疆林科院园林绿化研究所资产系统上各有一辆车，实际由新疆林业科学院统一管理，两个单位决算中车辆保有量为零，车辆经费支出来源为事业收入。</w:t>
      </w:r>
    </w:p>
    <w:p w14:paraId="03B723BF">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公务接待费0.05万元，开支内容包括</w:t>
      </w:r>
      <w:r>
        <w:rPr>
          <w:rFonts w:hint="eastAsia" w:ascii="仿宋_GB2312" w:eastAsia="仿宋_GB2312"/>
          <w:sz w:val="32"/>
          <w:szCs w:val="32"/>
          <w:lang w:val="en-US" w:eastAsia="zh-CN"/>
        </w:rPr>
        <w:t>业务交流误餐</w:t>
      </w:r>
      <w:r>
        <w:rPr>
          <w:rFonts w:ascii="仿宋_GB2312" w:eastAsia="仿宋_GB2312"/>
          <w:sz w:val="32"/>
          <w:szCs w:val="32"/>
          <w:lang w:eastAsia="zh-CN"/>
        </w:rPr>
        <w:t>伙食费。单位全年安排的国内公务接待1批次，3人次。</w:t>
      </w:r>
    </w:p>
    <w:p w14:paraId="2C7D5809">
      <w:pPr>
        <w:keepNext w:val="0"/>
        <w:keepLines w:val="0"/>
        <w:pageBreakBefore w:val="0"/>
        <w:widowControl/>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sz w:val="32"/>
          <w:szCs w:val="32"/>
          <w:lang w:eastAsia="zh-CN"/>
        </w:rPr>
      </w:pPr>
      <w:r>
        <w:rPr>
          <w:rFonts w:ascii="仿宋_GB2312" w:eastAsia="仿宋_GB2312"/>
          <w:b/>
          <w:bCs/>
          <w:sz w:val="32"/>
          <w:szCs w:val="32"/>
          <w:lang w:eastAsia="zh-CN"/>
        </w:rPr>
        <w:t>与全年预算相比，</w:t>
      </w:r>
      <w:r>
        <w:rPr>
          <w:rFonts w:ascii="仿宋_GB2312" w:eastAsia="仿宋_GB2312"/>
          <w:sz w:val="32"/>
          <w:szCs w:val="32"/>
          <w:lang w:eastAsia="zh-CN"/>
        </w:rPr>
        <w:t>财政拨款</w:t>
      </w:r>
      <w:r>
        <w:rPr>
          <w:rFonts w:hint="eastAsia" w:ascii="仿宋_GB2312" w:eastAsia="仿宋_GB2312"/>
          <w:sz w:val="32"/>
          <w:szCs w:val="32"/>
          <w:lang w:eastAsia="zh-CN"/>
        </w:rPr>
        <w:t>“三公”</w:t>
      </w:r>
      <w:r>
        <w:rPr>
          <w:rFonts w:ascii="仿宋_GB2312" w:eastAsia="仿宋_GB2312"/>
          <w:sz w:val="32"/>
          <w:szCs w:val="32"/>
          <w:lang w:eastAsia="zh-CN"/>
        </w:rPr>
        <w:t>经费支出全年预算数7.05万元，决算数7.05万元，预决算差异率0.00%，主要原因是：严格执行</w:t>
      </w:r>
      <w:r>
        <w:rPr>
          <w:rFonts w:hint="eastAsia" w:ascii="仿宋_GB2312" w:eastAsia="仿宋_GB2312"/>
          <w:sz w:val="32"/>
          <w:szCs w:val="32"/>
          <w:lang w:eastAsia="zh-CN"/>
        </w:rPr>
        <w:t>“三公”</w:t>
      </w:r>
      <w:r>
        <w:rPr>
          <w:rFonts w:ascii="仿宋_GB2312" w:eastAsia="仿宋_GB2312"/>
          <w:sz w:val="32"/>
          <w:szCs w:val="32"/>
          <w:lang w:eastAsia="zh-CN"/>
        </w:rPr>
        <w:t>经费预算，加强公务用车管理，减少公车出行，严格使用公务接待费，严格控制</w:t>
      </w:r>
      <w:r>
        <w:rPr>
          <w:rFonts w:hint="eastAsia" w:ascii="仿宋_GB2312" w:eastAsia="仿宋_GB2312"/>
          <w:sz w:val="32"/>
          <w:szCs w:val="32"/>
          <w:lang w:eastAsia="zh-CN"/>
        </w:rPr>
        <w:t>“三公”</w:t>
      </w:r>
      <w:r>
        <w:rPr>
          <w:rFonts w:ascii="仿宋_GB2312" w:eastAsia="仿宋_GB2312"/>
          <w:sz w:val="32"/>
          <w:szCs w:val="32"/>
          <w:lang w:eastAsia="zh-CN"/>
        </w:rPr>
        <w:t>经费支出。其中：因公出国（境）费全年预算数0.00万元，决算数0.00万元，预决算差异率0.00%，主要原因是：我单位全年未安排公务出境；公务用车购置费全年预算数0.00万元，决算数0.00万元，预决算差异率0.00%，主要原因是：我单位全年未安排公务用车购置费；公务用车运行维护费全年预算数7.00万元，决算数7.00万元，预决算差异率0.00%，主要原因是：加强公务用车管理，减少公车出行，严格按预算执行；公务接待费全年预算数0.05万元，决算数0.05万元，预决算差异率0.00%，主要原因是：加强公务接待管理，严格按预算执行。</w:t>
      </w:r>
    </w:p>
    <w:p w14:paraId="2423A240">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十、其他重要事项的情况说明</w:t>
      </w:r>
    </w:p>
    <w:p w14:paraId="725A7A13">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（一）机关运行经费及公用经费支出情况</w:t>
      </w:r>
    </w:p>
    <w:p w14:paraId="1645C40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2024年度新疆林业科学院部门（事业单位）公用经费支出444.98万元，比上年减少84.13万元，下降15.90%，主要原因是：严格落实过紧日子相关规定，控制各项经费支出。</w:t>
      </w:r>
    </w:p>
    <w:p w14:paraId="5635C1EF">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（二）政府采购情况</w:t>
      </w:r>
    </w:p>
    <w:p w14:paraId="56DD3A64">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2024年度政府采购支出总额93.70万元，其中：政府采购货物支出92.38万元、政府采购工程支出0.00万元、政府采购服务支出1.32万元。</w:t>
      </w:r>
    </w:p>
    <w:p w14:paraId="746A8282">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授予中小企业合同金额92.68万元，占政府采购支出总额的98.91%，其中：授予小微企业合同金额92.68万元，占政府采购支出总额的98.91%。</w:t>
      </w:r>
    </w:p>
    <w:p w14:paraId="4A1ACB67">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（三）国有资产占用情况说明</w:t>
      </w:r>
    </w:p>
    <w:p w14:paraId="00B29A4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rPr>
        <w:t>截至2024年12月31日，房屋19,362.73平方米，价值1,089.83万元。</w:t>
      </w:r>
      <w:r>
        <w:rPr>
          <w:rFonts w:ascii="仿宋_GB2312" w:eastAsia="仿宋_GB2312"/>
          <w:sz w:val="32"/>
          <w:szCs w:val="32"/>
          <w:lang w:eastAsia="zh-CN"/>
        </w:rPr>
        <w:t>车辆12辆，价值281.56万元，其中：副部（省）级及以上领导用车0辆、主要负责人用车3辆、机要通信用车0辆、应急保障用车0辆、执法执勤用车0辆、特种专业技术用车1辆、离退休干部服务用车0辆、其他用车8辆，其他用车主要是：单位日常运行用车;单价100万元（含）以上设备（不含车辆）4台。</w:t>
      </w:r>
    </w:p>
    <w:p w14:paraId="54C32138">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十一、预算绩效的情况说明</w:t>
      </w:r>
    </w:p>
    <w:p w14:paraId="72049379">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评价项目9个，全年预算数7,399.36万元，全年执行数5,713.11万元。预算绩效管理取得的成效：一是按照绩效目标高效、高质量完成各项工作内容；二是能够及时发现问题并及时调整各项工作内容。发现的问题及原因：一是前期绩效目标不够细致；二是没有考虑到项目实施可能遇到变量。下一步改进措施：一是完善预算绩效管理基础工作，做细各项绩效指标；二是继续提升预算绩效管理的深度和广度，全面考虑项目实施各项因素。具体附项目支出绩效自评表。</w:t>
      </w:r>
    </w:p>
    <w:p w14:paraId="78AA0936">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十二、其他需说明的事项</w:t>
      </w:r>
    </w:p>
    <w:p w14:paraId="7731699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ascii="仿宋_GB2312" w:eastAsia="仿宋_GB2312"/>
          <w:sz w:val="32"/>
          <w:szCs w:val="32"/>
          <w:lang w:eastAsia="zh-CN"/>
        </w:rPr>
        <w:t>本部门无其他需说明事项。</w:t>
      </w:r>
    </w:p>
    <w:p w14:paraId="3606F44E">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ascii="仿宋_GB2312" w:eastAsia="仿宋_GB2312"/>
          <w:sz w:val="32"/>
          <w:szCs w:val="32"/>
          <w:lang w:eastAsia="zh-CN"/>
        </w:rPr>
      </w:pPr>
    </w:p>
    <w:p w14:paraId="1C62E517">
      <w:pPr>
        <w:keepNext w:val="0"/>
        <w:keepLines w:val="0"/>
        <w:pageBreakBefore w:val="0"/>
        <w:widowControl/>
        <w:kinsoku/>
        <w:wordWrap/>
        <w:overflowPunct/>
        <w:topLinePunct w:val="0"/>
        <w:autoSpaceDE/>
        <w:autoSpaceDN/>
        <w:bidi w:val="0"/>
        <w:adjustRightInd/>
        <w:snapToGrid/>
        <w:spacing w:after="0" w:line="560" w:lineRule="exact"/>
        <w:textAlignment w:val="auto"/>
        <w:rPr>
          <w:lang w:eastAsia="zh-CN"/>
        </w:rPr>
      </w:pPr>
      <w:r>
        <w:rPr>
          <w:sz w:val="0"/>
          <w:szCs w:val="0"/>
          <w:lang w:eastAsia="zh-CN"/>
        </w:rPr>
        <w:br w:type="page"/>
      </w:r>
    </w:p>
    <w:p w14:paraId="226178B9">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32"/>
          <w:szCs w:val="32"/>
          <w:lang w:eastAsia="zh-CN"/>
        </w:rPr>
      </w:pPr>
      <w:r>
        <w:rPr>
          <w:rFonts w:ascii="黑体" w:eastAsia="黑体"/>
          <w:sz w:val="32"/>
          <w:szCs w:val="32"/>
          <w:lang w:eastAsia="zh-CN"/>
        </w:rPr>
        <w:t>第三部分 专业名词解释</w:t>
      </w:r>
    </w:p>
    <w:p w14:paraId="165C2814">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8284962">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269C77A">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E733E65">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F4D993E">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7426D0A">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hint="eastAsia" w:ascii="仿宋_GB2312" w:eastAsia="仿宋_GB2312"/>
          <w:sz w:val="32"/>
          <w:szCs w:val="32"/>
          <w:lang w:eastAsia="zh-CN"/>
        </w:rPr>
        <w:t>“</w:t>
      </w:r>
      <w:r>
        <w:rPr>
          <w:rFonts w:ascii="仿宋_GB2312" w:eastAsia="仿宋_GB2312"/>
          <w:sz w:val="32"/>
          <w:szCs w:val="32"/>
          <w:lang w:eastAsia="zh-CN"/>
        </w:rPr>
        <w:t>财政拨款收入</w:t>
      </w:r>
      <w:r>
        <w:rPr>
          <w:rFonts w:hint="eastAsia" w:ascii="仿宋_GB2312" w:eastAsia="仿宋_GB2312"/>
          <w:sz w:val="32"/>
          <w:szCs w:val="32"/>
          <w:lang w:eastAsia="zh-CN"/>
        </w:rPr>
        <w:t>”</w:t>
      </w:r>
      <w:r>
        <w:rPr>
          <w:rFonts w:ascii="仿宋_GB2312" w:eastAsia="仿宋_GB2312"/>
          <w:sz w:val="32"/>
          <w:szCs w:val="32"/>
          <w:lang w:eastAsia="zh-CN"/>
        </w:rPr>
        <w:t>、</w:t>
      </w:r>
      <w:r>
        <w:rPr>
          <w:rFonts w:hint="eastAsia" w:ascii="仿宋_GB2312" w:eastAsia="仿宋_GB2312"/>
          <w:sz w:val="32"/>
          <w:szCs w:val="32"/>
          <w:lang w:eastAsia="zh-CN"/>
        </w:rPr>
        <w:t>“</w:t>
      </w:r>
      <w:r>
        <w:rPr>
          <w:rFonts w:ascii="仿宋_GB2312" w:eastAsia="仿宋_GB2312"/>
          <w:sz w:val="32"/>
          <w:szCs w:val="32"/>
          <w:lang w:eastAsia="zh-CN"/>
        </w:rPr>
        <w:t>事业收入</w:t>
      </w:r>
      <w:r>
        <w:rPr>
          <w:rFonts w:hint="eastAsia" w:ascii="仿宋_GB2312" w:eastAsia="仿宋_GB2312"/>
          <w:sz w:val="32"/>
          <w:szCs w:val="32"/>
          <w:lang w:eastAsia="zh-CN"/>
        </w:rPr>
        <w:t>”</w:t>
      </w:r>
      <w:r>
        <w:rPr>
          <w:rFonts w:ascii="仿宋_GB2312" w:eastAsia="仿宋_GB2312"/>
          <w:sz w:val="32"/>
          <w:szCs w:val="32"/>
          <w:lang w:eastAsia="zh-CN"/>
        </w:rPr>
        <w:t>、</w:t>
      </w:r>
      <w:r>
        <w:rPr>
          <w:rFonts w:hint="eastAsia" w:ascii="仿宋_GB2312" w:eastAsia="仿宋_GB2312"/>
          <w:sz w:val="32"/>
          <w:szCs w:val="32"/>
          <w:lang w:eastAsia="zh-CN"/>
        </w:rPr>
        <w:t>“</w:t>
      </w:r>
      <w:r>
        <w:rPr>
          <w:rFonts w:ascii="仿宋_GB2312" w:eastAsia="仿宋_GB2312"/>
          <w:sz w:val="32"/>
          <w:szCs w:val="32"/>
          <w:lang w:eastAsia="zh-CN"/>
        </w:rPr>
        <w:t>经营收入</w:t>
      </w:r>
      <w:r>
        <w:rPr>
          <w:rFonts w:hint="eastAsia" w:ascii="仿宋_GB2312" w:eastAsia="仿宋_GB2312"/>
          <w:sz w:val="32"/>
          <w:szCs w:val="32"/>
          <w:lang w:eastAsia="zh-CN"/>
        </w:rPr>
        <w:t>”</w:t>
      </w:r>
      <w:r>
        <w:rPr>
          <w:rFonts w:ascii="仿宋_GB2312" w:eastAsia="仿宋_GB2312"/>
          <w:sz w:val="32"/>
          <w:szCs w:val="32"/>
          <w:lang w:eastAsia="zh-CN"/>
        </w:rPr>
        <w:t>、</w:t>
      </w:r>
      <w:r>
        <w:rPr>
          <w:rFonts w:hint="eastAsia" w:ascii="仿宋_GB2312" w:eastAsia="仿宋_GB2312"/>
          <w:sz w:val="32"/>
          <w:szCs w:val="32"/>
          <w:lang w:eastAsia="zh-CN"/>
        </w:rPr>
        <w:t>“</w:t>
      </w:r>
      <w:r>
        <w:rPr>
          <w:rFonts w:ascii="仿宋_GB2312" w:eastAsia="仿宋_GB2312"/>
          <w:sz w:val="32"/>
          <w:szCs w:val="32"/>
          <w:lang w:eastAsia="zh-CN"/>
        </w:rPr>
        <w:t>附属单位上缴收入</w:t>
      </w:r>
      <w:r>
        <w:rPr>
          <w:rFonts w:hint="eastAsia" w:ascii="仿宋_GB2312" w:eastAsia="仿宋_GB2312"/>
          <w:sz w:val="32"/>
          <w:szCs w:val="32"/>
          <w:lang w:eastAsia="zh-CN"/>
        </w:rPr>
        <w:t>”</w:t>
      </w:r>
      <w:r>
        <w:rPr>
          <w:rFonts w:ascii="仿宋_GB2312" w:eastAsia="仿宋_GB2312"/>
          <w:sz w:val="32"/>
          <w:szCs w:val="32"/>
          <w:lang w:eastAsia="zh-CN"/>
        </w:rPr>
        <w:t>等之外取得的收入。</w:t>
      </w:r>
    </w:p>
    <w:p w14:paraId="29283779">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EAD0837">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E60D5F">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E35A898">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50BE29B">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657B6C5">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55CD14F">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十三、</w:t>
      </w:r>
      <w:r>
        <w:rPr>
          <w:rFonts w:hint="eastAsia" w:ascii="仿宋_GB2312" w:eastAsia="仿宋_GB2312"/>
          <w:b/>
          <w:sz w:val="32"/>
          <w:szCs w:val="32"/>
          <w:lang w:eastAsia="zh-CN"/>
        </w:rPr>
        <w:t>“三公”</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6A959F">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68A4F96">
      <w:pPr>
        <w:keepNext w:val="0"/>
        <w:keepLines w:val="0"/>
        <w:pageBreakBefore w:val="0"/>
        <w:widowControl/>
        <w:kinsoku/>
        <w:wordWrap/>
        <w:overflowPunct/>
        <w:topLinePunct w:val="0"/>
        <w:autoSpaceDE/>
        <w:autoSpaceDN/>
        <w:bidi w:val="0"/>
        <w:adjustRightInd/>
        <w:snapToGrid/>
        <w:spacing w:after="0" w:line="560" w:lineRule="exact"/>
        <w:textAlignment w:val="auto"/>
        <w:rPr>
          <w:lang w:eastAsia="zh-CN"/>
        </w:rPr>
      </w:pPr>
      <w:r>
        <w:rPr>
          <w:sz w:val="0"/>
          <w:szCs w:val="0"/>
          <w:lang w:eastAsia="zh-CN"/>
        </w:rPr>
        <w:br w:type="page"/>
      </w:r>
    </w:p>
    <w:p w14:paraId="50A07663">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黑体" w:eastAsia="黑体"/>
          <w:sz w:val="32"/>
          <w:szCs w:val="32"/>
          <w:lang w:eastAsia="zh-CN"/>
        </w:rPr>
      </w:pPr>
      <w:r>
        <w:rPr>
          <w:rFonts w:ascii="黑体" w:eastAsia="黑体"/>
          <w:sz w:val="32"/>
          <w:szCs w:val="32"/>
          <w:lang w:eastAsia="zh-CN"/>
        </w:rPr>
        <w:t>第四部分 部门决算报表（见附表）</w:t>
      </w:r>
    </w:p>
    <w:p w14:paraId="21666C61">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A96AFD6">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二、《收入决算表》</w:t>
      </w:r>
    </w:p>
    <w:p w14:paraId="5CFAB2AB">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三、《支出决算表》</w:t>
      </w:r>
    </w:p>
    <w:p w14:paraId="0C3A3153">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37B1553">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56B7A40">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122D9D8">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4E39999">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63F9564">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仿宋_GB2312" w:eastAsia="仿宋_GB2312"/>
          <w:sz w:val="32"/>
          <w:szCs w:val="32"/>
          <w:lang w:eastAsia="zh-CN"/>
        </w:rPr>
      </w:pPr>
      <w:r>
        <w:rPr>
          <w:rFonts w:ascii="仿宋_GB2312" w:eastAsia="仿宋_GB2312"/>
          <w:sz w:val="32"/>
          <w:szCs w:val="32"/>
          <w:lang w:eastAsia="zh-CN"/>
        </w:rPr>
        <w:t>九、《财政拨款</w:t>
      </w:r>
      <w:r>
        <w:rPr>
          <w:rFonts w:hint="eastAsia" w:ascii="仿宋_GB2312" w:eastAsia="仿宋_GB2312"/>
          <w:sz w:val="32"/>
          <w:szCs w:val="32"/>
          <w:lang w:eastAsia="zh-CN"/>
        </w:rPr>
        <w:t>“三公”</w:t>
      </w:r>
      <w:r>
        <w:rPr>
          <w:rFonts w:ascii="仿宋_GB2312" w:eastAsia="仿宋_GB2312"/>
          <w:sz w:val="32"/>
          <w:szCs w:val="32"/>
          <w:lang w:eastAsia="zh-CN"/>
        </w:rPr>
        <w:t>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ZTBhMWYzYTQ3ZGU0YTFhNWY1NzNmOTVhOTUxYmMwOWIifQ=="/>
  </w:docVars>
  <w:rsids>
    <w:rsidRoot w:val="00BF7106"/>
    <w:rsid w:val="00296E83"/>
    <w:rsid w:val="00BF7106"/>
    <w:rsid w:val="02141BF4"/>
    <w:rsid w:val="056B1323"/>
    <w:rsid w:val="12922918"/>
    <w:rsid w:val="31F37CC4"/>
    <w:rsid w:val="653E530A"/>
    <w:rsid w:val="7EC24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Char"/>
    <w:basedOn w:val="14"/>
    <w:link w:val="8"/>
    <w:qFormat/>
    <w:uiPriority w:val="99"/>
    <w:rPr>
      <w:rFonts w:eastAsiaTheme="minorHAnsi"/>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6662</Words>
  <Characters>7500</Characters>
  <Lines>52</Lines>
  <Paragraphs>14</Paragraphs>
  <TotalTime>4</TotalTime>
  <ScaleCrop>false</ScaleCrop>
  <LinksUpToDate>false</LinksUpToDate>
  <CharactersWithSpaces>7512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2025-08-22T03:46:00Z</dcterms:created>
  <dc:creator>计算机</dc:creator>
  <cp:lastModifiedBy>晶</cp:lastModifiedBy>
  <dcterms:modified xsi:type="dcterms:W3CDTF">2025-08-25T03:56:20Z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0FE2004740B14C7FA69BC85C56A35566_12</vt:lpwstr>
  </property>
  <property fmtid="{D5CDD505-2E9C-101B-9397-08002B2CF9AE}" pid="4" name="KSOTemplateDocerSaveRecord">
    <vt:lpwstr>eyJoZGlkIjoiODFkN2IxNDhjZjg5NmQ2NGM2MDc2OTFlNWI4MDU2NDUiLCJ1c2VySWQiOiIyMzk3MjgxNjgifQ==</vt:lpwstr>
  </property>
</Properties>
</file>