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附件2：</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方正小标宋简体" w:cs="Times New Roman"/>
          <w:b w:val="0"/>
          <w:bCs w:val="0"/>
          <w:kern w:val="0"/>
          <w:sz w:val="44"/>
          <w:szCs w:val="44"/>
        </w:rPr>
      </w:pPr>
      <w:r>
        <w:rPr>
          <w:rFonts w:hint="default" w:ascii="Times New Roman" w:hAnsi="Times New Roman" w:eastAsia="方正小标宋简体" w:cs="Times New Roman"/>
          <w:b w:val="0"/>
          <w:bCs w:val="0"/>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 xml:space="preserve">（   </w:t>
      </w:r>
      <w:r>
        <w:rPr>
          <w:rStyle w:val="17"/>
          <w:rFonts w:hint="default" w:ascii="Times New Roman" w:hAnsi="Times New Roman" w:eastAsia="仿宋_GB2312" w:cs="Times New Roman"/>
          <w:b w:val="0"/>
          <w:bCs w:val="0"/>
          <w:spacing w:val="-4"/>
          <w:sz w:val="32"/>
          <w:szCs w:val="32"/>
        </w:rPr>
        <w:t>2024</w:t>
      </w:r>
      <w:r>
        <w:rPr>
          <w:rFonts w:hint="default" w:ascii="Times New Roman" w:hAnsi="Times New Roman" w:eastAsia="仿宋_GB2312" w:cs="Times New Roman"/>
          <w:b w:val="0"/>
          <w:bCs w:val="0"/>
          <w:kern w:val="0"/>
          <w:sz w:val="32"/>
          <w:szCs w:val="32"/>
        </w:rPr>
        <w:t xml:space="preserve">  年度）</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jc w:val="left"/>
        <w:textAlignment w:val="auto"/>
        <w:outlineLvl w:val="9"/>
        <w:rPr>
          <w:rFonts w:hint="default" w:ascii="Times New Roman" w:hAnsi="Times New Roman" w:eastAsia="仿宋_GB2312" w:cs="Times New Roman"/>
          <w:b w:val="0"/>
          <w:bCs w:val="0"/>
          <w:kern w:val="0"/>
          <w:sz w:val="32"/>
          <w:szCs w:val="32"/>
        </w:rPr>
      </w:pPr>
      <w:r>
        <w:rPr>
          <w:rFonts w:hint="default" w:ascii="Times New Roman" w:hAnsi="Times New Roman" w:eastAsia="仿宋_GB2312" w:cs="Times New Roman"/>
          <w:b w:val="0"/>
          <w:bCs w:val="0"/>
          <w:kern w:val="0"/>
          <w:sz w:val="32"/>
          <w:szCs w:val="32"/>
        </w:rPr>
        <w:t>项目名称：</w:t>
      </w:r>
      <w:r>
        <w:rPr>
          <w:rStyle w:val="17"/>
          <w:rFonts w:hint="default" w:ascii="Times New Roman" w:hAnsi="Times New Roman" w:eastAsia="仿宋_GB2312" w:cs="Times New Roman"/>
          <w:b w:val="0"/>
          <w:bCs w:val="0"/>
          <w:spacing w:val="-4"/>
          <w:sz w:val="32"/>
          <w:szCs w:val="32"/>
        </w:rPr>
        <w:t>新疆林科院经济林研究所项目</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 xml:space="preserve">  实施单位（公章）：</w:t>
      </w:r>
      <w:r>
        <w:rPr>
          <w:rStyle w:val="17"/>
          <w:rFonts w:hint="default" w:ascii="Times New Roman" w:hAnsi="Times New Roman" w:eastAsia="仿宋_GB2312" w:cs="Times New Roman"/>
          <w:b w:val="0"/>
          <w:bCs w:val="0"/>
          <w:spacing w:val="-4"/>
          <w:sz w:val="32"/>
          <w:szCs w:val="32"/>
        </w:rPr>
        <w:t>新疆林科院经济林研究所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主管部门（公章）：</w:t>
      </w:r>
      <w:r>
        <w:rPr>
          <w:rStyle w:val="17"/>
          <w:rFonts w:hint="default" w:ascii="Times New Roman" w:hAnsi="Times New Roman" w:eastAsia="仿宋_GB2312" w:cs="Times New Roman"/>
          <w:b w:val="0"/>
          <w:bCs w:val="0"/>
          <w:spacing w:val="-4"/>
          <w:sz w:val="32"/>
          <w:szCs w:val="32"/>
        </w:rPr>
        <w:t>新疆林科院经济林研究所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项目负责人（签章）：</w:t>
      </w:r>
      <w:r>
        <w:rPr>
          <w:rStyle w:val="17"/>
          <w:rFonts w:hint="default" w:ascii="Times New Roman" w:hAnsi="Times New Roman" w:eastAsia="仿宋_GB2312" w:cs="Times New Roman"/>
          <w:b w:val="0"/>
          <w:bCs w:val="0"/>
          <w:spacing w:val="-4"/>
          <w:sz w:val="32"/>
          <w:szCs w:val="32"/>
        </w:rPr>
        <w:t>张强</w:t>
      </w:r>
    </w:p>
    <w:p>
      <w:pPr>
        <w:keepNext w:val="0"/>
        <w:keepLines w:val="0"/>
        <w:pageBreakBefore w:val="0"/>
        <w:widowControl w:val="0"/>
        <w:kinsoku/>
        <w:wordWrap/>
        <w:overflowPunct/>
        <w:topLinePunct w:val="0"/>
        <w:autoSpaceDE/>
        <w:autoSpaceDN/>
        <w:bidi w:val="0"/>
        <w:adjustRightInd/>
        <w:snapToGrid/>
        <w:spacing w:line="578" w:lineRule="exact"/>
        <w:ind w:left="273" w:firstLine="567"/>
        <w:textAlignment w:val="auto"/>
        <w:outlineLvl w:val="9"/>
        <w:rPr>
          <w:rStyle w:val="17"/>
          <w:rFonts w:hint="default" w:ascii="Times New Roman" w:hAnsi="Times New Roman" w:eastAsia="仿宋_GB2312" w:cs="Times New Roman"/>
          <w:b w:val="0"/>
          <w:bCs w:val="0"/>
          <w:spacing w:val="-4"/>
          <w:sz w:val="32"/>
          <w:szCs w:val="32"/>
        </w:rPr>
      </w:pPr>
      <w:r>
        <w:rPr>
          <w:rFonts w:hint="default" w:ascii="Times New Roman" w:hAnsi="Times New Roman" w:eastAsia="仿宋_GB2312" w:cs="Times New Roman"/>
          <w:b w:val="0"/>
          <w:bCs w:val="0"/>
          <w:kern w:val="0"/>
          <w:sz w:val="32"/>
          <w:szCs w:val="32"/>
        </w:rPr>
        <w:t>填报时间：</w:t>
      </w:r>
      <w:r>
        <w:rPr>
          <w:rStyle w:val="17"/>
          <w:rFonts w:hint="default" w:ascii="Times New Roman" w:hAnsi="Times New Roman" w:eastAsia="仿宋_GB2312" w:cs="Times New Roman"/>
          <w:b w:val="0"/>
          <w:bCs w:val="0"/>
          <w:spacing w:val="-4"/>
          <w:sz w:val="32"/>
          <w:szCs w:val="32"/>
        </w:rPr>
        <w:t>2025年03月18日</w:t>
      </w:r>
    </w:p>
    <w:p>
      <w:pPr>
        <w:keepNext w:val="0"/>
        <w:keepLines w:val="0"/>
        <w:pageBreakBefore w:val="0"/>
        <w:widowControl w:val="0"/>
        <w:kinsoku/>
        <w:wordWrap/>
        <w:overflowPunct/>
        <w:topLinePunct w:val="0"/>
        <w:autoSpaceDE/>
        <w:autoSpaceDN/>
        <w:bidi w:val="0"/>
        <w:adjustRightInd/>
        <w:snapToGrid/>
        <w:spacing w:line="578" w:lineRule="exact"/>
        <w:ind w:firstLine="755" w:firstLineChars="236"/>
        <w:jc w:val="left"/>
        <w:textAlignment w:val="auto"/>
        <w:outlineLvl w:val="9"/>
        <w:rPr>
          <w:rFonts w:hint="default" w:ascii="Times New Roman" w:hAnsi="Times New Roman" w:eastAsia="仿宋_GB2312" w:cs="Times New Roman"/>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楷体"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本项目围绕“十四五”期间我区重点发展“十大产业”之一林果产业，针对新疆核桃腐烂病缺乏有效防控措施且化学农药过度施用等问题，通过挖掘核桃腐烂病高效生防微生物菌种资源、阐明高效生防微生物菌群的作用机制、建立高效生防微生物制剂的生产工艺，有效解决现阶段生防微生物制剂种类少、防效不稳定、制造成本高、生产不连续、剂型单一以及货架期短等问题，创制核桃腐烂病高效生防微生物制剂，通过在新疆核桃主产区开展高效生防微生物制剂的应用示范，实现化学农药减施增效，为核桃腐烂病的绿色高效防控提供技术保障与产品支撑。预期的成果将在深化新疆核桃产业提质增效、巩固新疆脱贫攻坚成果、推进乡村振兴、改善生态环境、维护社会稳定中发挥重要作用。</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国家重点研发子课题“新疆核桃宜机简化高效栽培技术研究”坚持问题导向，紧盯制约新疆核桃产业质量发展瓶颈节点，以技术创新、成果创新为目标，以技术成果支撑引领新疆核桃产业高质量发展为主线，突出品种创新、模式创新、装备创新、生产技术创新等宜机简化高效栽培技术成果系统创新为重点，以提质增效、产业振兴为根本目的，着力破解制约新疆核桃产业高质量发展的核心关键。</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我国是梨的重要起源地之一，是世界第一产梨大国，我国梨产量约占世界总产量的2/3，出口量约占1/6。十九届五中全会提出“把科技自立自强作为国家发展的战略支撑，把生物育种列为强化国家战略力量重点发展的八大前沿领域之一”。“十四五”期间，要围绕种业振兴重点任务，聚焦资源保护、育种创新、测试评价和良种繁育四大环节，布局建设一批国际一流的标志性工程。</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eastAsia" w:ascii="仿宋" w:hAnsi="仿宋" w:eastAsia="仿宋" w:cs="仿宋"/>
          <w:b w:val="0"/>
          <w:bCs w:val="0"/>
          <w:spacing w:val="-4"/>
          <w:sz w:val="32"/>
          <w:szCs w:val="32"/>
        </w:rPr>
        <w:t>1、年度目标：</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1.建成核桃共生微生物菌种资源库，获得核桃腐烂病生防微生物菌株20-30 个；创制高效生防制剂 2-3 种；建立低成本低污染制造工艺1 套；发表学术论文2 篇（SCI 论文1 篇）；申请发明专利 1 件；培养硕、博士2 名。</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2.接续开展高光效、高产、宜机化栽培模式研究，培训技术人员200人次，单产提高5%，作业效率提高10%，提交年度工作总结1份。</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3.开展防控腐烂病生防微生物制剂示范园施用评价效果；开展生物杀菌剂防病效果田间生物学测定试验，开展毒理和环境评价测试； 建立试验示范核心基地1个；监测农产品与环境中的化学农药残留水平；整理实验结果，撰写年度研究报告，完成项目中期评估与阶段性验收。</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2、总体目标</w:t>
      </w:r>
      <w:r>
        <w:rPr>
          <w:rStyle w:val="17"/>
          <w:rFonts w:hint="eastAsia" w:ascii="仿宋" w:hAnsi="仿宋" w:eastAsia="仿宋" w:cs="仿宋"/>
          <w:b w:val="0"/>
          <w:bCs w:val="0"/>
          <w:spacing w:val="-4"/>
          <w:sz w:val="32"/>
          <w:szCs w:val="32"/>
        </w:rPr>
        <w:cr/>
      </w:r>
      <w:r>
        <w:rPr>
          <w:rStyle w:val="17"/>
          <w:rFonts w:hint="default" w:ascii="Times New Roman" w:hAnsi="Times New Roman" w:eastAsia="仿宋_GB2312" w:cs="Times New Roman"/>
          <w:b w:val="0"/>
          <w:bCs w:val="0"/>
          <w:spacing w:val="-4"/>
          <w:sz w:val="32"/>
          <w:szCs w:val="32"/>
        </w:rPr>
        <w:t>1.目前，位于新疆林科院佳木试验站梨种质资源汇集圃、新疆库尔勒市沙依东园艺场的新疆农业大学梨育种基地和新疆农业科学院轮台果树资源圃梨种质资源作为本子课题主要依托的研究平台。对现有的梨种质资源进行集中汇集，同时，从中国农业科学院郑州果树研究所等机构引进梨优良种质资源80份以上，现有的梨种质资源保存量增加到200份以上，建立梨种质资源汇集圃50亩以上。同时，利用传统的株系选优和实生选种等途径从现有栽培品种或自然实生后代中选育出梨不同口味、不同颜色、不同成熟期的优良梨品种5~6个，审（认）定良种3~4个，满足市场对梨品质多样化的需求，为新疆梨产业转型升级注入新动能。同时，为了优良梨品种推广与示范工作的顺利开展建立10亩以上的优良梨品种采穗圃。另外，根据《梨种质资源描述规范》的标准，统一调查指标和方法，对收集保存的200份资源的生物学特性和农艺性状进行连续2~3年全面系统的调查和评价，系统分析其在不同地点的性状表现，实现对梨种质资源多年、多点的精准鉴定，初步筛选一批性状稳定且优异的品种资源。</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2.获得核桃腐烂病生防菌群10 个以上，鉴定活性代谢产物5 个以上，创制高效生防制剂 2 种；研制新剂型和配套应用技术 3-4 套，建立低成本低污染制造工艺 1 套，登记核桃腐烂病生防制剂产品1 个，建立产品保质增效技术 1-2 套；核心示范500 亩，辐射推广5 万亩，实现化学农药减量施用18%-20%；核桃平均单产增加10%以上；</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申请发明专利 4 件，发表高水平论文 5 篇（其中SCI 论文不少于2 篇）；培养硕、博士研究生6 名，培训果农和各类技术人员300 人次以上。</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通过对自治区重大科技专项和“十四五”期间我区重点发展“十大产业”之一果产业项目开展绩效评价，了解和掌握项目实施的具体情况，客观评价项目资金安排的科学性、合理性、规范性和资金使用成效，及时总结项目管理经验，完善项目管理办法，提高项目管理水平和资金的使用效益。</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（2）促使项目承担单位根据绩效评价中发现的问题，认真加以整改，及时调整和完善单位的工作计划和绩效目标并加强项目管理，提高管理水平，同时为项目后续资金投入、分配和管理提供决策依据。</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本次评价从项目决策、项目管理、项目产出、项目效益四个维度进行评价，评价对象：《优良梨种质资源综合评价与品种选育》、《新疆落叶松不同种源林期阶段生长适应性比较研究》、《核桃腐烂病生防微生物制剂研发》项目执行情况。</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范围：项目目标设定、项目组织实施情况、资金落实情况、实际支出情况、财务管理状况。</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仿宋" w:hAnsi="仿宋" w:eastAsia="仿宋" w:cs="仿宋"/>
          <w:b w:val="0"/>
          <w:bCs w:val="0"/>
          <w:spacing w:val="-4"/>
          <w:sz w:val="32"/>
          <w:szCs w:val="32"/>
          <w:lang w:eastAsia="zh-CN"/>
        </w:rPr>
      </w:pPr>
      <w:r>
        <w:rPr>
          <w:rStyle w:val="17"/>
          <w:rFonts w:hint="default" w:ascii="Times New Roman" w:hAnsi="Times New Roman" w:eastAsia="楷体" w:cs="Times New Roman"/>
          <w:b w:val="0"/>
          <w:bCs w:val="0"/>
          <w:spacing w:val="-4"/>
          <w:sz w:val="32"/>
          <w:szCs w:val="32"/>
        </w:rPr>
        <w:t>（二）绩效评价原则、评价指标体系（附表说明）、评价方法、评价标准等。</w:t>
      </w:r>
      <w:r>
        <w:rPr>
          <w:rStyle w:val="17"/>
          <w:rFonts w:hint="default" w:ascii="Times New Roman" w:hAnsi="Times New Roman" w:eastAsia="仿宋_GB2312" w:cs="Times New Roman"/>
          <w:b w:val="0"/>
          <w:bCs w:val="0"/>
          <w:spacing w:val="-4"/>
          <w:sz w:val="32"/>
          <w:szCs w:val="32"/>
        </w:rPr>
        <w:br w:type="textWrapping"/>
      </w:r>
      <w:r>
        <w:rPr>
          <w:rStyle w:val="17"/>
          <w:rFonts w:hint="eastAsia" w:ascii="仿宋" w:hAnsi="仿宋" w:eastAsia="仿宋" w:cs="仿宋"/>
          <w:b w:val="0"/>
          <w:bCs w:val="0"/>
          <w:spacing w:val="-4"/>
          <w:sz w:val="32"/>
          <w:szCs w:val="32"/>
        </w:rPr>
        <w:t>1.绩效评价依据和原则</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自治区重大科技专项和“十四五”期间我区重点发展“十大产业”之一果产业项目实际开展情况，运用定量和定性分析相结合的方法，客观评价项目实施成效。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7"/>
          <w:rFonts w:hint="default" w:ascii="Times New Roman" w:hAnsi="Times New Roman" w:eastAsia="仿宋_GB2312" w:cs="Times New Roman"/>
          <w:b w:val="0"/>
          <w:bCs w:val="0"/>
          <w:spacing w:val="-4"/>
          <w:sz w:val="32"/>
          <w:szCs w:val="32"/>
        </w:rPr>
        <w:cr/>
      </w:r>
      <w:r>
        <w:rPr>
          <w:rStyle w:val="17"/>
          <w:rFonts w:hint="eastAsia" w:ascii="仿宋" w:hAnsi="仿宋" w:eastAsia="仿宋" w:cs="仿宋"/>
          <w:b w:val="0"/>
          <w:bCs w:val="0"/>
          <w:spacing w:val="-4"/>
          <w:sz w:val="32"/>
          <w:szCs w:val="32"/>
          <w:lang w:val="en-US" w:eastAsia="zh-CN"/>
        </w:rPr>
        <w:t>2.</w:t>
      </w:r>
      <w:r>
        <w:rPr>
          <w:rStyle w:val="17"/>
          <w:rFonts w:hint="eastAsia" w:ascii="仿宋" w:hAnsi="仿宋" w:eastAsia="仿宋" w:cs="仿宋"/>
          <w:b w:val="0"/>
          <w:bCs w:val="0"/>
          <w:spacing w:val="-4"/>
          <w:sz w:val="32"/>
          <w:szCs w:val="32"/>
          <w:lang w:eastAsia="zh-CN"/>
        </w:rPr>
        <w:t>评价指标体系</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仿宋" w:hAnsi="仿宋" w:eastAsia="仿宋" w:cs="仿宋"/>
          <w:b w:val="0"/>
          <w:bCs w:val="0"/>
          <w:spacing w:val="-4"/>
          <w:sz w:val="32"/>
          <w:szCs w:val="32"/>
        </w:rPr>
      </w:pPr>
      <w:r>
        <w:rPr>
          <w:rStyle w:val="17"/>
          <w:rFonts w:hint="default" w:ascii="Times New Roman" w:hAnsi="Times New Roman" w:eastAsia="仿宋_GB2312" w:cs="Times New Roman"/>
          <w:b w:val="0"/>
          <w:bCs w:val="0"/>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7"/>
          <w:rFonts w:hint="default" w:ascii="Times New Roman" w:hAnsi="Times New Roman" w:eastAsia="仿宋_GB2312" w:cs="Times New Roman"/>
          <w:b w:val="0"/>
          <w:bCs w:val="0"/>
          <w:spacing w:val="-4"/>
          <w:sz w:val="32"/>
          <w:szCs w:val="32"/>
        </w:rPr>
        <w:br w:type="textWrapping"/>
      </w:r>
      <w:r>
        <w:rPr>
          <w:rStyle w:val="17"/>
          <w:rFonts w:hint="eastAsia" w:ascii="仿宋" w:hAnsi="仿宋" w:eastAsia="仿宋" w:cs="仿宋"/>
          <w:b w:val="0"/>
          <w:bCs w:val="0"/>
          <w:spacing w:val="-4"/>
          <w:sz w:val="32"/>
          <w:szCs w:val="32"/>
        </w:rPr>
        <w:t>3.评价方法</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2023年度自治区重大科技专项项目绩效评价方法是通过对绩效目标与项目实施效果进行比较，综合分析绩效目标实现的程度。详细方法应用如下：</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比较法：通过梳理该项目实施方案和实际完成情况，评价产出指标的完成情况，分析项目实施后产生的效益效果。</w:t>
      </w:r>
      <w:r>
        <w:rPr>
          <w:rStyle w:val="17"/>
          <w:rFonts w:hint="default" w:ascii="Times New Roman" w:hAnsi="Times New Roman" w:eastAsia="仿宋_GB2312" w:cs="Times New Roman"/>
          <w:b w:val="0"/>
          <w:bCs w:val="0"/>
          <w:spacing w:val="-4"/>
          <w:sz w:val="32"/>
          <w:szCs w:val="32"/>
        </w:rPr>
        <w:br w:type="textWrapping"/>
      </w:r>
      <w:r>
        <w:rPr>
          <w:rStyle w:val="17"/>
          <w:rFonts w:hint="eastAsia" w:ascii="仿宋" w:hAnsi="仿宋" w:eastAsia="仿宋" w:cs="仿宋"/>
          <w:b w:val="0"/>
          <w:bCs w:val="0"/>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 xml:space="preserve">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default" w:ascii="Times New Roman" w:hAnsi="Times New Roman" w:eastAsia="楷体" w:cs="Times New Roman"/>
          <w:b w:val="0"/>
          <w:bCs w:val="0"/>
          <w:spacing w:val="-4"/>
          <w:sz w:val="32"/>
          <w:szCs w:val="32"/>
        </w:rPr>
      </w:pPr>
      <w:r>
        <w:rPr>
          <w:rStyle w:val="17"/>
          <w:rFonts w:hint="default" w:ascii="Times New Roman" w:hAnsi="Times New Roman" w:eastAsia="楷体" w:cs="Times New Roman"/>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采取对照项目合同，查阅相关资料，核实、查证、分析、论证有关情况和问题，信息汇总、分析判断，填写绩效评价指标表，得出绩效评价结论，撰写绩效评价报告，整理归档，完成绩效评价工作。</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依据《项目支出绩效评价管理办法》（财预〔2020〕10号）文件，绩效评价总分设置为100分，划分为四档：90（含）-100分为优，80（含）-90分为良，60（含）-80分为中，60分以下为差。经综合分析评价，该计划项目得分88.8分，绩效等级评定为“良”。</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z w:val="32"/>
          <w:szCs w:val="32"/>
        </w:rPr>
      </w:pPr>
      <w:r>
        <w:rPr>
          <w:rStyle w:val="17"/>
          <w:rFonts w:hint="default" w:ascii="Times New Roman" w:hAnsi="Times New Roman" w:eastAsia="黑体" w:cs="Times New Roman"/>
          <w:b w:val="0"/>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1.项目立项</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eastAsia" w:ascii="仿宋" w:hAnsi="仿宋" w:eastAsia="仿宋" w:cs="仿宋"/>
          <w:b w:val="0"/>
          <w:bCs w:val="0"/>
          <w:spacing w:val="-4"/>
          <w:sz w:val="32"/>
          <w:szCs w:val="32"/>
        </w:rPr>
      </w:pPr>
      <w:r>
        <w:rPr>
          <w:rStyle w:val="17"/>
          <w:rFonts w:hint="default" w:ascii="Times New Roman" w:hAnsi="Times New Roman" w:eastAsia="仿宋_GB2312" w:cs="Times New Roman"/>
          <w:b w:val="0"/>
          <w:bCs w:val="0"/>
          <w:spacing w:val="-4"/>
          <w:sz w:val="32"/>
          <w:szCs w:val="32"/>
        </w:rPr>
        <w:t>2024年新疆林科院经济林研究所项目按照《林业科学院委员会会议纪要》（〔2023〕15号），审议通过“关于新疆林业科学院2024年度部门预算报表草案编制审核报送的请示”。项目立项符合国家法律法规、国民经济发展规划和相关政策。</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2024年新疆林科院经济林研究所项目立项工作严格按照《新疆林科院科研项目及经费管理办法》（新林科院函〔2024〕34号）相关规定程序立项，审批文件、材料符合相关要求。</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项目事前已经过必要的可行性研究、绩效评估、集体决策。</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该指标满分为6分，根据评分标准得6分。</w:t>
      </w:r>
      <w:r>
        <w:rPr>
          <w:rStyle w:val="17"/>
          <w:rFonts w:hint="default" w:ascii="Times New Roman" w:hAnsi="Times New Roman" w:eastAsia="仿宋_GB2312" w:cs="Times New Roman"/>
          <w:b w:val="0"/>
          <w:bCs w:val="0"/>
          <w:spacing w:val="-4"/>
          <w:sz w:val="32"/>
          <w:szCs w:val="32"/>
        </w:rPr>
        <w:br w:type="textWrapping"/>
      </w:r>
      <w:r>
        <w:rPr>
          <w:rStyle w:val="17"/>
          <w:rFonts w:hint="eastAsia" w:ascii="仿宋" w:hAnsi="仿宋" w:eastAsia="仿宋" w:cs="仿宋"/>
          <w:b w:val="0"/>
          <w:bCs w:val="0"/>
          <w:spacing w:val="-4"/>
          <w:sz w:val="32"/>
          <w:szCs w:val="32"/>
        </w:rPr>
        <w:t>2.绩效目标</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经济林研究所项目支出绩效目标表》该项目有绩效目标。该项目支出绩效目标表、实施方案、项目合同书、项目自评报告或项目年度执行情况报告等资料齐全，项目绩效目标与实际工作内容相关。</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2024年新疆林科院经济林研究所项目绩效目标总任务为各课题计划完成的绩效目标合计，目标任务与计划数相对应。</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该指标满分为6分，根据评分标准得6分。</w:t>
      </w:r>
      <w:r>
        <w:rPr>
          <w:rStyle w:val="17"/>
          <w:rFonts w:hint="default" w:ascii="Times New Roman" w:hAnsi="Times New Roman" w:eastAsia="仿宋_GB2312" w:cs="Times New Roman"/>
          <w:b w:val="0"/>
          <w:bCs w:val="0"/>
          <w:spacing w:val="-4"/>
          <w:sz w:val="32"/>
          <w:szCs w:val="32"/>
        </w:rPr>
        <w:br w:type="textWrapping"/>
      </w:r>
      <w:r>
        <w:rPr>
          <w:rStyle w:val="17"/>
          <w:rFonts w:hint="eastAsia" w:ascii="仿宋" w:hAnsi="仿宋" w:eastAsia="仿宋" w:cs="仿宋"/>
          <w:b w:val="0"/>
          <w:bCs w:val="0"/>
          <w:spacing w:val="-4"/>
          <w:sz w:val="32"/>
          <w:szCs w:val="32"/>
        </w:rPr>
        <w:t>3.资金投入</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根据《自治区财政科研项目资金管理办法》文件要求：“预算编制按照项目实施的合理需要，坚持目标相关性、政策相符性和资金合理性的原则。</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2024年新疆林科院经济林研究所项目各课题已按要求进行了预算编制，预算的编制有依据且与项目内容及工作任务相匹配，并经过财务专家评审。</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2024年新疆林科院经济林研究所项目按照《自治区财政科研项目资金管理办法》中“合理确定资金拨付计划。自治区科技厅要根据不同类型项目特点、研究进度、资金需求等，合理制定财政科研项目资金拨付计划。</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该指标满分为8分，根据评分标准得8分。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eastAsia" w:ascii="仿宋" w:hAnsi="仿宋" w:eastAsia="仿宋" w:cs="仿宋"/>
          <w:b w:val="0"/>
          <w:bCs w:val="0"/>
          <w:spacing w:val="-4"/>
          <w:sz w:val="32"/>
          <w:szCs w:val="32"/>
        </w:rPr>
        <w:t>1.资金管理</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 xml:space="preserve">（1）B11资金到位率指标  </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资金到位率=（实际到位资金/预算资金）×100%。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项目总预算资金为1215万元，到位率为62.04%。</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该指标满分为4分，根据评分标准得2.4分。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（2）B12预算执行率</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预算执行率=（实际使用资金/到位资金）×100%。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根据项目拨款情况统计表，截止2024年12月31日，预算执行率为60%。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该指标满分为4分，根据评分标准得2.4分。</w:t>
      </w:r>
      <w:r>
        <w:rPr>
          <w:rStyle w:val="17"/>
          <w:rFonts w:hint="default" w:ascii="Times New Roman" w:hAnsi="Times New Roman" w:eastAsia="仿宋_GB2312" w:cs="Times New Roman"/>
          <w:b w:val="0"/>
          <w:bCs w:val="0"/>
          <w:spacing w:val="-4"/>
          <w:sz w:val="32"/>
          <w:szCs w:val="32"/>
        </w:rPr>
        <w:br w:type="textWrapping"/>
      </w:r>
      <w:r>
        <w:rPr>
          <w:rStyle w:val="17"/>
          <w:rFonts w:hint="eastAsia" w:ascii="楷体" w:hAnsi="楷体" w:eastAsia="楷体" w:cs="楷体"/>
          <w:b w:val="0"/>
          <w:bCs w:val="0"/>
          <w:spacing w:val="-4"/>
          <w:sz w:val="32"/>
          <w:szCs w:val="32"/>
        </w:rPr>
        <w:t>（3）B13资金使用合规性</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根据各项目单位提供的资金执行情况统计表，项目相关单位在资金使用方面符合国家财经法规和财务管理制度以及有关专项资金管理办法的规定。</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该指标满分为2分，根据评分标准得2分。</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2.组织实施</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2024年新疆林科院经济林研究所项目实施方案完整、且按年度对指标完成情况进行了细化，无重大调整。各项目均在实施初期阶段，基本能够按照实施方案和计划执行。</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资金使用根据《新疆林科院科研项目及经费管理办法》（新林科院函〔2024〕34号）和《新疆林业科学院财务管理办法》相关要求制定了与科技项目管理相关的财务和业务管理制度，制度制定合法、合规、完整。</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lang w:val="en-US" w:eastAsia="zh-CN"/>
        </w:rPr>
        <w:t xml:space="preserve">    </w:t>
      </w:r>
      <w:r>
        <w:rPr>
          <w:rStyle w:val="17"/>
          <w:rFonts w:hint="default" w:ascii="Times New Roman" w:hAnsi="Times New Roman" w:eastAsia="仿宋_GB2312" w:cs="Times New Roman"/>
          <w:b w:val="0"/>
          <w:bCs w:val="0"/>
          <w:spacing w:val="-4"/>
          <w:sz w:val="32"/>
          <w:szCs w:val="32"/>
        </w:rPr>
        <w:t xml:space="preserve">项目实施遵守《中华人民共和国预算法》和《新疆林科院科研项目及经费管理办法》（新林科院函〔2024〕34号）相关规定；项目合同书等资料齐全。 </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该指标满分为10分，根据评分标准得10分。</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Fonts w:hint="default" w:ascii="Times New Roman" w:hAnsi="Times New Roman" w:eastAsia="楷体" w:cs="Times New Roman"/>
          <w:b w:val="0"/>
          <w:bCs w:val="0"/>
          <w:spacing w:val="-4"/>
          <w:sz w:val="32"/>
          <w:szCs w:val="32"/>
        </w:rPr>
      </w:pPr>
      <w:r>
        <w:rPr>
          <w:rFonts w:hint="default" w:ascii="Times New Roman" w:hAnsi="Times New Roman" w:eastAsia="楷体" w:cs="Times New Roman"/>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eastAsia" w:ascii="仿宋" w:hAnsi="仿宋" w:eastAsia="仿宋" w:cs="仿宋"/>
          <w:b w:val="0"/>
          <w:bCs w:val="0"/>
          <w:spacing w:val="-4"/>
          <w:sz w:val="32"/>
          <w:szCs w:val="32"/>
        </w:rPr>
        <w:t>1.数量指标</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（1）示范种植面积</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根据年初绩效目标，本年示范种植面积&gt;=75亩，等于目标值，故得10分,得分率100%。</w:t>
      </w:r>
      <w:r>
        <w:rPr>
          <w:rStyle w:val="17"/>
          <w:rFonts w:hint="default" w:ascii="Times New Roman" w:hAnsi="Times New Roman" w:eastAsia="仿宋_GB2312" w:cs="Times New Roman"/>
          <w:b w:val="0"/>
          <w:bCs w:val="0"/>
          <w:spacing w:val="-4"/>
          <w:sz w:val="32"/>
          <w:szCs w:val="32"/>
        </w:rPr>
        <w:cr/>
      </w:r>
      <w:r>
        <w:rPr>
          <w:rStyle w:val="17"/>
          <w:rFonts w:hint="default" w:ascii="Times New Roman" w:hAnsi="Times New Roman" w:eastAsia="仿宋_GB2312" w:cs="Times New Roman"/>
          <w:b w:val="0"/>
          <w:bCs w:val="0"/>
          <w:spacing w:val="-4"/>
          <w:sz w:val="32"/>
          <w:szCs w:val="32"/>
        </w:rPr>
        <w:t>该指标满分为10分，根据评分标准得10分。</w:t>
      </w:r>
      <w:r>
        <w:rPr>
          <w:rStyle w:val="17"/>
          <w:rFonts w:hint="default" w:ascii="Times New Roman" w:hAnsi="Times New Roman" w:eastAsia="仿宋_GB2312" w:cs="Times New Roman"/>
          <w:b w:val="0"/>
          <w:bCs w:val="0"/>
          <w:spacing w:val="-4"/>
          <w:sz w:val="32"/>
          <w:szCs w:val="32"/>
        </w:rPr>
        <w:cr/>
      </w:r>
      <w:r>
        <w:rPr>
          <w:rStyle w:val="17"/>
          <w:rFonts w:hint="default" w:ascii="Times New Roman" w:hAnsi="Times New Roman" w:eastAsia="仿宋_GB2312" w:cs="Times New Roman"/>
          <w:b w:val="0"/>
          <w:bCs w:val="0"/>
          <w:spacing w:val="-4"/>
          <w:sz w:val="32"/>
          <w:szCs w:val="32"/>
        </w:rPr>
        <w:t>（2）申请专利个数（个）</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根据年初绩效目标，本年申请专利个数&gt;=4项，等于目标值，故得10分,得分率100%。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该指标满分为10分，根据评分标准得10分。</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（3）绩效发放人数（人）</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根据年初绩效目标，本年绩效发放人数&gt;=20人，等于目标值，故得10分,得分率100%。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该指标满分为10分，根据评分标准得10分。</w:t>
      </w:r>
      <w:r>
        <w:rPr>
          <w:rStyle w:val="17"/>
          <w:rFonts w:hint="default" w:ascii="Times New Roman" w:hAnsi="Times New Roman" w:eastAsia="仿宋_GB2312" w:cs="Times New Roman"/>
          <w:b w:val="0"/>
          <w:bCs w:val="0"/>
          <w:spacing w:val="-4"/>
          <w:sz w:val="32"/>
          <w:szCs w:val="32"/>
        </w:rPr>
        <w:br w:type="textWrapping"/>
      </w:r>
      <w:r>
        <w:rPr>
          <w:rStyle w:val="17"/>
          <w:rFonts w:hint="eastAsia" w:eastAsia="仿宋_GB2312" w:cs="Times New Roman"/>
          <w:b w:val="0"/>
          <w:bCs w:val="0"/>
          <w:spacing w:val="-4"/>
          <w:sz w:val="32"/>
          <w:szCs w:val="32"/>
          <w:lang w:val="en-US" w:eastAsia="zh-CN"/>
        </w:rPr>
        <w:t xml:space="preserve"> </w:t>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2.质量指标</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（1）项目验收通过率</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根据年初绩效目标，项目验收合格，故得4分,得分率80%。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该指标满分为5分，根据评分标准得4分。</w:t>
      </w:r>
      <w:r>
        <w:rPr>
          <w:rStyle w:val="17"/>
          <w:rFonts w:hint="default" w:ascii="Times New Roman" w:hAnsi="Times New Roman" w:eastAsia="仿宋_GB2312" w:cs="Times New Roman"/>
          <w:b w:val="0"/>
          <w:bCs w:val="0"/>
          <w:spacing w:val="-4"/>
          <w:sz w:val="32"/>
          <w:szCs w:val="32"/>
        </w:rPr>
        <w:br w:type="textWrapping"/>
      </w:r>
      <w:r>
        <w:rPr>
          <w:rStyle w:val="17"/>
          <w:rFonts w:hint="eastAsia" w:ascii="仿宋" w:hAnsi="仿宋" w:eastAsia="仿宋" w:cs="仿宋"/>
          <w:b w:val="0"/>
          <w:bCs w:val="0"/>
          <w:spacing w:val="-4"/>
          <w:sz w:val="32"/>
          <w:szCs w:val="32"/>
          <w:lang w:val="en-US" w:eastAsia="zh-CN"/>
        </w:rPr>
        <w:t xml:space="preserve">  3</w:t>
      </w:r>
      <w:r>
        <w:rPr>
          <w:rStyle w:val="17"/>
          <w:rFonts w:hint="eastAsia" w:ascii="仿宋" w:hAnsi="仿宋" w:eastAsia="仿宋" w:cs="仿宋"/>
          <w:b w:val="0"/>
          <w:bCs w:val="0"/>
          <w:spacing w:val="-4"/>
          <w:sz w:val="32"/>
          <w:szCs w:val="32"/>
        </w:rPr>
        <w:t>.时效指标</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（1）项目完成时限</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根据年初绩效目标，项目当年完成，故得5分,得分率100%。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该指标满分为5分，根据评分标准得5分。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default" w:ascii="Times New Roman" w:hAnsi="Times New Roman" w:eastAsia="仿宋_GB2312" w:cs="Times New Roman"/>
          <w:b w:val="0"/>
          <w:bCs w:val="0"/>
          <w:spacing w:val="-4"/>
          <w:sz w:val="32"/>
          <w:szCs w:val="32"/>
        </w:rPr>
      </w:pPr>
      <w:r>
        <w:rPr>
          <w:rFonts w:hint="default" w:ascii="Times New Roman" w:hAnsi="Times New Roman" w:eastAsia="楷体" w:cs="Times New Roman"/>
          <w:b w:val="0"/>
          <w:bCs w:val="0"/>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eastAsia" w:ascii="仿宋" w:hAnsi="仿宋" w:eastAsia="仿宋" w:cs="仿宋"/>
          <w:b w:val="0"/>
          <w:bCs w:val="0"/>
          <w:spacing w:val="-4"/>
          <w:sz w:val="32"/>
          <w:szCs w:val="32"/>
        </w:rPr>
        <w:t>（1）发表论文数</w:t>
      </w:r>
      <w:r>
        <w:rPr>
          <w:rStyle w:val="17"/>
          <w:rFonts w:hint="eastAsia" w:ascii="仿宋" w:hAnsi="仿宋" w:eastAsia="仿宋" w:cs="仿宋"/>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根据项目报送的项目绩效自评价报告，发表论文数（篇）&gt;=2篇，完成目标值，故得5分，得分率100%。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该指标满分为5分，根据评分标准得5分。</w:t>
      </w:r>
      <w:r>
        <w:rPr>
          <w:rStyle w:val="17"/>
          <w:rFonts w:hint="default" w:ascii="Times New Roman" w:hAnsi="Times New Roman" w:eastAsia="仿宋_GB2312" w:cs="Times New Roman"/>
          <w:b w:val="0"/>
          <w:bCs w:val="0"/>
          <w:spacing w:val="-4"/>
          <w:sz w:val="32"/>
          <w:szCs w:val="32"/>
        </w:rPr>
        <w:br w:type="textWrapping"/>
      </w:r>
      <w:bookmarkStart w:id="0" w:name="_GoBack"/>
      <w:r>
        <w:rPr>
          <w:rStyle w:val="17"/>
          <w:rFonts w:hint="eastAsia" w:ascii="仿宋" w:hAnsi="仿宋" w:eastAsia="仿宋" w:cs="仿宋"/>
          <w:b w:val="0"/>
          <w:bCs w:val="0"/>
          <w:spacing w:val="-4"/>
          <w:sz w:val="32"/>
          <w:szCs w:val="32"/>
        </w:rPr>
        <w:t>（2）促进新疆核桃、香梨产业发展</w:t>
      </w:r>
      <w:r>
        <w:rPr>
          <w:rStyle w:val="17"/>
          <w:rFonts w:hint="eastAsia" w:ascii="仿宋" w:hAnsi="仿宋" w:eastAsia="仿宋" w:cs="仿宋"/>
          <w:b w:val="0"/>
          <w:bCs w:val="0"/>
          <w:spacing w:val="-4"/>
          <w:sz w:val="32"/>
          <w:szCs w:val="32"/>
        </w:rPr>
        <w:br w:type="textWrapping"/>
      </w:r>
      <w:bookmarkEnd w:id="0"/>
      <w:r>
        <w:rPr>
          <w:rStyle w:val="17"/>
          <w:rFonts w:hint="default" w:ascii="Times New Roman" w:hAnsi="Times New Roman" w:eastAsia="仿宋_GB2312" w:cs="Times New Roman"/>
          <w:b w:val="0"/>
          <w:bCs w:val="0"/>
          <w:spacing w:val="-4"/>
          <w:sz w:val="32"/>
          <w:szCs w:val="32"/>
        </w:rPr>
        <w:t>根据项目报送的项目绩效自评价报告，促进新疆核桃、香梨产业发展有效促进，故得3分，得分率60%。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该指标满分为5分，根据评分标准得3分。</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群众满意度（%）</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根据项目报送的项目绩效自评价报告，群众满意度&gt;=85%，完成目标值，故得10分，得分率100%。</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该指标满分为10分，根据评分标准得10分。</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lang w:eastAsia="zh-CN"/>
        </w:rPr>
        <w:t>五</w:t>
      </w:r>
      <w:r>
        <w:rPr>
          <w:rStyle w:val="17"/>
          <w:rFonts w:hint="default" w:ascii="Times New Roman" w:hAnsi="Times New Roman" w:eastAsia="黑体" w:cs="Times New Roman"/>
          <w:b w:val="0"/>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 xml:space="preserve">存在问题及原因分析：资金执行率较低（60%），主要因项目周期长、部分研发环节需跨年度推进。  </w:t>
      </w:r>
      <w:r>
        <w:rPr>
          <w:rStyle w:val="17"/>
          <w:rFonts w:hint="default" w:ascii="Times New Roman" w:hAnsi="Times New Roman" w:eastAsia="仿宋_GB2312" w:cs="Times New Roman"/>
          <w:b w:val="0"/>
          <w:bCs w:val="0"/>
          <w:spacing w:val="-4"/>
          <w:sz w:val="32"/>
          <w:szCs w:val="32"/>
        </w:rPr>
        <w:br w:type="textWrapping"/>
      </w:r>
      <w:r>
        <w:rPr>
          <w:rStyle w:val="17"/>
          <w:rFonts w:hint="default" w:ascii="Times New Roman" w:hAnsi="Times New Roman" w:eastAsia="仿宋_GB2312" w:cs="Times New Roman"/>
          <w:b w:val="0"/>
          <w:bCs w:val="0"/>
          <w:spacing w:val="-4"/>
          <w:sz w:val="32"/>
          <w:szCs w:val="32"/>
        </w:rPr>
        <w:t>改进措施：优化资金使用计划，加强阶段性支出监管，确保后续年度预算执行效率。</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lang w:eastAsia="zh-CN"/>
        </w:rPr>
        <w:t>六</w:t>
      </w:r>
      <w:r>
        <w:rPr>
          <w:rStyle w:val="17"/>
          <w:rFonts w:hint="default" w:ascii="Times New Roman" w:hAnsi="Times New Roman" w:eastAsia="黑体" w:cs="Times New Roman"/>
          <w:b w:val="0"/>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加强资金使用效率管理，确保预算执行与项目进度匹配；持续跟踪生防制剂研发成果转化，推动产业实际应用。</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default" w:ascii="Times New Roman" w:hAnsi="Times New Roman" w:eastAsia="黑体" w:cs="Times New Roman"/>
          <w:b w:val="0"/>
          <w:bCs w:val="0"/>
          <w:spacing w:val="-4"/>
          <w:sz w:val="32"/>
          <w:szCs w:val="32"/>
        </w:rPr>
      </w:pPr>
      <w:r>
        <w:rPr>
          <w:rStyle w:val="17"/>
          <w:rFonts w:hint="default" w:ascii="Times New Roman" w:hAnsi="Times New Roman" w:eastAsia="黑体" w:cs="Times New Roman"/>
          <w:b w:val="0"/>
          <w:bCs w:val="0"/>
          <w:spacing w:val="-4"/>
          <w:sz w:val="32"/>
          <w:szCs w:val="32"/>
          <w:lang w:eastAsia="zh-CN"/>
        </w:rPr>
        <w:t>七</w:t>
      </w:r>
      <w:r>
        <w:rPr>
          <w:rStyle w:val="17"/>
          <w:rFonts w:hint="default" w:ascii="Times New Roman" w:hAnsi="Times New Roman" w:eastAsia="黑体" w:cs="Times New Roman"/>
          <w:b w:val="0"/>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default" w:ascii="Times New Roman" w:hAnsi="Times New Roman" w:eastAsia="仿宋_GB2312" w:cs="Times New Roman"/>
          <w:b w:val="0"/>
          <w:bCs w:val="0"/>
          <w:spacing w:val="-4"/>
          <w:sz w:val="32"/>
          <w:szCs w:val="32"/>
        </w:rPr>
      </w:pPr>
      <w:r>
        <w:rPr>
          <w:rStyle w:val="17"/>
          <w:rFonts w:hint="default" w:ascii="Times New Roman" w:hAnsi="Times New Roman" w:eastAsia="仿宋_GB2312" w:cs="Times New Roman"/>
          <w:b w:val="0"/>
          <w:bCs w:val="0"/>
          <w:spacing w:val="-4"/>
          <w:sz w:val="32"/>
          <w:szCs w:val="32"/>
        </w:rPr>
        <w:t>无。</w:t>
      </w: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default" w:ascii="Times New Roman" w:hAnsi="Times New Roman" w:eastAsia="仿宋_GB2312" w:cs="Times New Roman"/>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default" w:ascii="Times New Roman" w:hAnsi="Times New Roman" w:eastAsia="仿宋_GB2312" w:cs="Times New Roman"/>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haroni">
    <w:panose1 w:val="02010803020104030203"/>
    <w:charset w:val="00"/>
    <w:family w:val="auto"/>
    <w:pitch w:val="default"/>
    <w:sig w:usb0="00000801" w:usb1="00000000" w:usb2="00000000" w:usb3="00000000" w:csb0="00000020" w:csb1="00200000"/>
  </w:font>
  <w:font w:name="Algerian">
    <w:panose1 w:val="04020705040A02060702"/>
    <w:charset w:val="00"/>
    <w:family w:val="auto"/>
    <w:pitch w:val="default"/>
    <w:sig w:usb0="00000003" w:usb1="00000000" w:usb2="00000000" w:usb3="00000000" w:csb0="20000001" w:csb1="00000000"/>
  </w:font>
  <w:font w:name="Aparajita">
    <w:panose1 w:val="020B0604020202020204"/>
    <w:charset w:val="00"/>
    <w:family w:val="auto"/>
    <w:pitch w:val="default"/>
    <w:sig w:usb0="00008003"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Arial Rounded MT Bold">
    <w:panose1 w:val="020F0704030504030204"/>
    <w:charset w:val="00"/>
    <w:family w:val="auto"/>
    <w:pitch w:val="default"/>
    <w:sig w:usb0="00000003" w:usb1="00000000" w:usb2="00000000" w:usb3="00000000" w:csb0="20000001" w:csb1="00000000"/>
  </w:font>
  <w:font w:name="Bradley Hand ITC">
    <w:panose1 w:val="03070402050302030203"/>
    <w:charset w:val="00"/>
    <w:family w:val="auto"/>
    <w:pitch w:val="default"/>
    <w:sig w:usb0="00000003" w:usb1="00000000" w:usb2="00000000" w:usb3="00000000" w:csb0="20000001" w:csb1="00000000"/>
  </w:font>
  <w:font w:name="Britannic Bold">
    <w:panose1 w:val="020B0903060703020204"/>
    <w:charset w:val="00"/>
    <w:family w:val="auto"/>
    <w:pitch w:val="default"/>
    <w:sig w:usb0="00000003" w:usb1="00000000" w:usb2="00000000" w:usb3="00000000" w:csb0="20000001" w:csb1="00000000"/>
  </w:font>
  <w:font w:name="BrowalliaUPC">
    <w:panose1 w:val="020B0604020202020204"/>
    <w:charset w:val="00"/>
    <w:family w:val="auto"/>
    <w:pitch w:val="default"/>
    <w:sig w:usb0="81000003" w:usb1="00000000" w:usb2="00000000" w:usb3="00000000" w:csb0="00010001" w:csb1="00000000"/>
  </w:font>
  <w:font w:name="Brush Script MT">
    <w:panose1 w:val="03060802040406070304"/>
    <w:charset w:val="00"/>
    <w:family w:val="auto"/>
    <w:pitch w:val="default"/>
    <w:sig w:usb0="00000003" w:usb1="00000000" w:usb2="00000000" w:usb3="00000000" w:csb0="20000001" w:csb1="00000000"/>
  </w:font>
  <w:font w:name="Calibri Light">
    <w:panose1 w:val="020F0302020204030204"/>
    <w:charset w:val="00"/>
    <w:family w:val="auto"/>
    <w:pitch w:val="default"/>
    <w:sig w:usb0="A00002EF" w:usb1="4000207B" w:usb2="00000000" w:usb3="00000000" w:csb0="2000019F" w:csb1="00000000"/>
  </w:font>
  <w:font w:name="Californian FB">
    <w:panose1 w:val="0207040306080B030204"/>
    <w:charset w:val="00"/>
    <w:family w:val="auto"/>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Centaur">
    <w:panose1 w:val="02030504050205020304"/>
    <w:charset w:val="00"/>
    <w:family w:val="auto"/>
    <w:pitch w:val="default"/>
    <w:sig w:usb0="00000003" w:usb1="00000000" w:usb2="00000000" w:usb3="00000000" w:csb0="20000001" w:csb1="00000000"/>
  </w:font>
  <w:font w:name="Cordia New">
    <w:panose1 w:val="020B0304020202020204"/>
    <w:charset w:val="00"/>
    <w:family w:val="auto"/>
    <w:pitch w:val="default"/>
    <w:sig w:usb0="81000003" w:usb1="00000000" w:usb2="00000000" w:usb3="00000000" w:csb0="00010001" w:csb1="00000000"/>
  </w:font>
  <w:font w:name="David">
    <w:panose1 w:val="020E0502060401010101"/>
    <w:charset w:val="00"/>
    <w:family w:val="auto"/>
    <w:pitch w:val="default"/>
    <w:sig w:usb0="00000801" w:usb1="00000000" w:usb2="00000000" w:usb3="00000000" w:csb0="00000020" w:csb1="00200000"/>
  </w:font>
  <w:font w:name="Edwardian Script ITC">
    <w:panose1 w:val="030303020407070D0804"/>
    <w:charset w:val="00"/>
    <w:family w:val="auto"/>
    <w:pitch w:val="default"/>
    <w:sig w:usb0="00000003" w:usb1="00000000" w:usb2="00000000" w:usb3="00000000" w:csb0="20000001" w:csb1="00000000"/>
  </w:font>
  <w:font w:name="Elephant">
    <w:panose1 w:val="02020904090505020303"/>
    <w:charset w:val="00"/>
    <w:family w:val="auto"/>
    <w:pitch w:val="default"/>
    <w:sig w:usb0="00000003" w:usb1="00000000" w:usb2="00000000" w:usb3="00000000" w:csb0="20000001" w:csb1="00000000"/>
  </w:font>
  <w:font w:name="EucrosiaUPC">
    <w:panose1 w:val="02020603050405020304"/>
    <w:charset w:val="00"/>
    <w:family w:val="auto"/>
    <w:pitch w:val="default"/>
    <w:sig w:usb0="81000027" w:usb1="00000002" w:usb2="00000000" w:usb3="00000000" w:csb0="00010001" w:csb1="00000000"/>
  </w:font>
  <w:font w:name="Franklin Gothic Book">
    <w:panose1 w:val="020B0503020102020204"/>
    <w:charset w:val="00"/>
    <w:family w:val="auto"/>
    <w:pitch w:val="default"/>
    <w:sig w:usb0="00000287" w:usb1="00000000" w:usb2="00000000" w:usb3="00000000" w:csb0="2000009F" w:csb1="DFD70000"/>
  </w:font>
  <w:font w:name="Franklin Gothic Medium Cond">
    <w:panose1 w:val="020B0606030402020204"/>
    <w:charset w:val="00"/>
    <w:family w:val="auto"/>
    <w:pitch w:val="default"/>
    <w:sig w:usb0="00000287" w:usb1="00000000" w:usb2="00000000" w:usb3="00000000" w:csb0="2000009F" w:csb1="DFD70000"/>
  </w:font>
  <w:font w:name="Gloucester MT Extra Condensed">
    <w:panose1 w:val="02030808020601010101"/>
    <w:charset w:val="00"/>
    <w:family w:val="auto"/>
    <w:pitch w:val="default"/>
    <w:sig w:usb0="00000003" w:usb1="00000000" w:usb2="00000000" w:usb3="00000000" w:csb0="20000001" w:csb1="00000000"/>
  </w:font>
  <w:font w:name="Informal Roman">
    <w:panose1 w:val="030604020304060B0204"/>
    <w:charset w:val="00"/>
    <w:family w:val="auto"/>
    <w:pitch w:val="default"/>
    <w:sig w:usb0="00000003" w:usb1="00000000" w:usb2="00000000" w:usb3="00000000" w:csb0="20000001" w:csb1="00000000"/>
  </w:font>
  <w:font w:name="IrisUPC">
    <w:panose1 w:val="020B0604020202020204"/>
    <w:charset w:val="00"/>
    <w:family w:val="auto"/>
    <w:pitch w:val="default"/>
    <w:sig w:usb0="01000007" w:usb1="00000002" w:usb2="00000000" w:usb3="00000000" w:csb0="00010001" w:csb1="00000000"/>
  </w:font>
  <w:font w:name="Levenim MT">
    <w:panose1 w:val="02010502060101010101"/>
    <w:charset w:val="00"/>
    <w:family w:val="auto"/>
    <w:pitch w:val="default"/>
    <w:sig w:usb0="00000801" w:usb1="00000000" w:usb2="00000000" w:usb3="00000000" w:csb0="00000020" w:csb1="00200000"/>
  </w:font>
  <w:font w:name="Lucida Calligraphy">
    <w:panose1 w:val="03010101010101010101"/>
    <w:charset w:val="00"/>
    <w:family w:val="auto"/>
    <w:pitch w:val="default"/>
    <w:sig w:usb0="00000003" w:usb1="00000000" w:usb2="00000000" w:usb3="00000000" w:csb0="20000001" w:csb1="00000000"/>
  </w:font>
  <w:font w:name="Lucida Console">
    <w:panose1 w:val="020B0609040504020204"/>
    <w:charset w:val="00"/>
    <w:family w:val="auto"/>
    <w:pitch w:val="default"/>
    <w:sig w:usb0="8000028F" w:usb1="00001800" w:usb2="00000000" w:usb3="00000000" w:csb0="0000001F" w:csb1="D7D70000"/>
  </w:font>
  <w:font w:name="Lucida Handwriting">
    <w:panose1 w:val="03010101010101010101"/>
    <w:charset w:val="00"/>
    <w:family w:val="auto"/>
    <w:pitch w:val="default"/>
    <w:sig w:usb0="00000003" w:usb1="00000000" w:usb2="00000000" w:usb3="00000000" w:csb0="20000001" w:csb1="00000000"/>
  </w:font>
  <w:font w:name="Maiandra GD">
    <w:panose1 w:val="020E0502030308020204"/>
    <w:charset w:val="00"/>
    <w:family w:val="auto"/>
    <w:pitch w:val="default"/>
    <w:sig w:usb0="00000003" w:usb1="00000000" w:usb2="00000000" w:usb3="00000000" w:csb0="20000001" w:csb1="00000000"/>
  </w:font>
  <w:font w:name="Marlett">
    <w:panose1 w:val="00000000000000000000"/>
    <w:charset w:val="00"/>
    <w:family w:val="auto"/>
    <w:pitch w:val="default"/>
    <w:sig w:usb0="00000000" w:usb1="00000000" w:usb2="00000000" w:usb3="00000000" w:csb0="80000000" w:csb1="00000000"/>
  </w:font>
  <w:font w:name="Microsoft Himalaya">
    <w:panose1 w:val="01010100010101010101"/>
    <w:charset w:val="00"/>
    <w:family w:val="auto"/>
    <w:pitch w:val="default"/>
    <w:sig w:usb0="80000003" w:usb1="00010000" w:usb2="00000040" w:usb3="00000000" w:csb0="00000001" w:csb1="00000000"/>
  </w:font>
  <w:font w:name="Microsoft New Tai Lue">
    <w:panose1 w:val="020B0502040204020203"/>
    <w:charset w:val="00"/>
    <w:family w:val="auto"/>
    <w:pitch w:val="default"/>
    <w:sig w:usb0="00000003" w:usb1="00000000" w:usb2="8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Microsoft Tai Le">
    <w:panose1 w:val="020B0502040204020203"/>
    <w:charset w:val="00"/>
    <w:family w:val="auto"/>
    <w:pitch w:val="default"/>
    <w:sig w:usb0="00000003" w:usb1="00000000" w:usb2="40000000" w:usb3="00000000" w:csb0="00000001" w:csb1="00000000"/>
  </w:font>
  <w:font w:name="Monotype Corsiva">
    <w:panose1 w:val="03010101010201010101"/>
    <w:charset w:val="00"/>
    <w:family w:val="auto"/>
    <w:pitch w:val="default"/>
    <w:sig w:usb0="00000287" w:usb1="00000000" w:usb2="00000000" w:usb3="00000000" w:csb0="2000009F" w:csb1="DFD70000"/>
  </w:font>
  <w:font w:name="Narkisim">
    <w:panose1 w:val="020E0502050101010101"/>
    <w:charset w:val="00"/>
    <w:family w:val="auto"/>
    <w:pitch w:val="default"/>
    <w:sig w:usb0="00000801" w:usb1="00000000" w:usb2="00000000" w:usb3="00000000" w:csb0="00000020" w:csb1="00200000"/>
  </w:font>
  <w:font w:name="Palatino Linotype">
    <w:panose1 w:val="02040502050505030304"/>
    <w:charset w:val="00"/>
    <w:family w:val="auto"/>
    <w:pitch w:val="default"/>
    <w:sig w:usb0="E0000287" w:usb1="40000013" w:usb2="00000000" w:usb3="00000000" w:csb0="2000019F" w:csb1="00000000"/>
  </w:font>
  <w:font w:name="Perpetua">
    <w:panose1 w:val="02020502060401020303"/>
    <w:charset w:val="00"/>
    <w:family w:val="auto"/>
    <w:pitch w:val="default"/>
    <w:sig w:usb0="00000003" w:usb1="00000000" w:usb2="00000000" w:usb3="00000000" w:csb0="00000001" w:csb1="00000000"/>
  </w:font>
  <w:font w:name="Plantagenet Cherokee">
    <w:panose1 w:val="02020602070100000000"/>
    <w:charset w:val="00"/>
    <w:family w:val="auto"/>
    <w:pitch w:val="default"/>
    <w:sig w:usb0="00000003" w:usb1="00000000" w:usb2="00001000" w:usb3="00000000" w:csb0="00000001" w:csb1="00000000"/>
  </w:font>
  <w:font w:name="Sakkal Majalla">
    <w:panose1 w:val="02000000000000000000"/>
    <w:charset w:val="00"/>
    <w:family w:val="auto"/>
    <w:pitch w:val="default"/>
    <w:sig w:usb0="A000207F" w:usb1="C000204B" w:usb2="00000008" w:usb3="00000000" w:csb0="200000D3" w:csb1="00000000"/>
  </w:font>
  <w:font w:name="Shruti">
    <w:panose1 w:val="020B0502040204020203"/>
    <w:charset w:val="00"/>
    <w:family w:val="auto"/>
    <w:pitch w:val="default"/>
    <w:sig w:usb0="00040003" w:usb1="00000000" w:usb2="00000000" w:usb3="00000000" w:csb0="00000001" w:csb1="00000000"/>
  </w:font>
  <w:font w:name="Simplified Arabic">
    <w:panose1 w:val="02020603050405020304"/>
    <w:charset w:val="00"/>
    <w:family w:val="auto"/>
    <w:pitch w:val="default"/>
    <w:sig w:usb0="00002003" w:usb1="00000000" w:usb2="00000000" w:usb3="00000000" w:csb0="00000041" w:csb1="20080000"/>
  </w:font>
  <w:font w:name="Sylfaen">
    <w:panose1 w:val="010A0502050306030303"/>
    <w:charset w:val="00"/>
    <w:family w:val="auto"/>
    <w:pitch w:val="default"/>
    <w:sig w:usb0="04000687" w:usb1="00000000" w:usb2="00000000" w:usb3="00000000" w:csb0="2000009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Tempus Sans ITC">
    <w:panose1 w:val="04020404030D070202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8623402"/>
    <w:rsid w:val="0CB44F22"/>
    <w:rsid w:val="0D010CC8"/>
    <w:rsid w:val="0FD66C2D"/>
    <w:rsid w:val="198B35B3"/>
    <w:rsid w:val="19F46B9B"/>
    <w:rsid w:val="1E6074EA"/>
    <w:rsid w:val="2F3D33DF"/>
    <w:rsid w:val="4C3D1751"/>
    <w:rsid w:val="4D2606A1"/>
    <w:rsid w:val="4E457723"/>
    <w:rsid w:val="503841AB"/>
    <w:rsid w:val="51595CEB"/>
    <w:rsid w:val="537E0087"/>
    <w:rsid w:val="57AF1AD2"/>
    <w:rsid w:val="5C536736"/>
    <w:rsid w:val="680B568C"/>
    <w:rsid w:val="6D3F32EE"/>
    <w:rsid w:val="714B62C2"/>
    <w:rsid w:val="7B6E6BD3"/>
    <w:rsid w:val="7F1E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15</TotalTime>
  <ScaleCrop>false</ScaleCrop>
  <LinksUpToDate>false</LinksUpToDate>
  <CharactersWithSpaces>760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2025-08-25T02:52:42Z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160D1BA1944349B08C48068401F6E698</vt:lpwstr>
  </property>
</Properties>
</file>