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新疆畜牧科学院畜牧业质量标准研究所（新疆维吾尔自治区种羊与羊毛羊绒质量安全监督检验中心）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黑体" w:hAnsi="黑体" w:eastAsia="黑体" w:cs="黑体"/>
          <w:sz w:val="32"/>
          <w:szCs w:val="32"/>
        </w:rPr>
      </w:pPr>
      <w:r>
        <w:rPr>
          <w:rFonts w:hint="eastAsia" w:ascii="黑体" w:hAnsi="黑体" w:eastAsia="黑体" w:cs="黑体"/>
          <w:b/>
          <w:sz w:val="32"/>
          <w:szCs w:val="32"/>
        </w:rPr>
        <w:t>第一部分</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黑体" w:hAnsi="黑体" w:eastAsia="黑体" w:cs="黑体"/>
          <w:sz w:val="32"/>
          <w:szCs w:val="32"/>
        </w:rPr>
      </w:pPr>
      <w:r>
        <w:rPr>
          <w:rFonts w:hint="eastAsia" w:ascii="黑体" w:hAnsi="黑体" w:eastAsia="黑体" w:cs="黑体"/>
          <w:b/>
          <w:sz w:val="32"/>
          <w:szCs w:val="32"/>
        </w:rPr>
        <w:t>第二部分</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黑体" w:hAnsi="黑体" w:eastAsia="黑体" w:cs="黑体"/>
          <w:sz w:val="32"/>
          <w:szCs w:val="32"/>
        </w:rPr>
      </w:pPr>
      <w:r>
        <w:rPr>
          <w:rFonts w:hint="eastAsia" w:ascii="黑体" w:hAnsi="黑体" w:eastAsia="黑体" w:cs="黑体"/>
          <w:b/>
          <w:sz w:val="32"/>
          <w:szCs w:val="32"/>
        </w:rPr>
        <w:t>第三部分</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黑体" w:hAnsi="黑体" w:eastAsia="黑体" w:cs="黑体"/>
          <w:sz w:val="32"/>
          <w:szCs w:val="32"/>
        </w:rPr>
      </w:pPr>
      <w:r>
        <w:rPr>
          <w:rFonts w:hint="eastAsia" w:ascii="黑体" w:hAnsi="黑体" w:eastAsia="黑体" w:cs="黑体"/>
          <w:b/>
          <w:sz w:val="32"/>
          <w:szCs w:val="32"/>
        </w:rPr>
        <w:t>第四部分</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黑体" w:hAnsi="黑体" w:eastAsia="黑体" w:cs="黑体"/>
        </w:rPr>
      </w:pPr>
      <w:r>
        <w:rPr>
          <w:rFonts w:hint="eastAsia" w:ascii="黑体" w:hAnsi="黑体" w:eastAsia="黑体" w:cs="黑体"/>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hint="eastAsia" w:ascii="黑体" w:hAnsi="黑体" w:eastAsia="黑体" w:cs="黑体"/>
          <w:b/>
          <w:bCs/>
          <w:sz w:val="32"/>
          <w:szCs w:val="32"/>
        </w:rPr>
      </w:pPr>
      <w:r>
        <w:rPr>
          <w:rFonts w:hint="eastAsia" w:ascii="黑体" w:hAnsi="黑体" w:eastAsia="黑体" w:cs="黑体"/>
          <w:b/>
          <w:bCs/>
          <w:sz w:val="32"/>
          <w:szCs w:val="32"/>
        </w:rPr>
        <w:t>第一部分</w:t>
      </w: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hint="eastAsia" w:ascii="黑体" w:hAnsi="黑体" w:eastAsia="黑体" w:cs="黑体"/>
          <w:sz w:val="32"/>
          <w:szCs w:val="32"/>
        </w:rPr>
      </w:pPr>
      <w:r>
        <w:rPr>
          <w:rFonts w:hint="eastAsia" w:ascii="黑体" w:hAnsi="黑体" w:eastAsia="黑体" w:cs="黑体"/>
          <w:b/>
          <w:bCs/>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我单位主要职能包括对各种绵山羊品种的种羊、羊肉、各类动物毛绒纤维、动物毛皮及冻精、动物源性成分等种类开展322项参数的对外检测技术服务；围绕新疆奶业发展及乳品质量安全，开展科研、技术示范、推广、培训、咨询与服务工作；开展奶产业经济、信息化、智能化应用的研究；开展乳品质量安全监测和奶牛生产性能（DHI）测定；开展畜产品质量安全标准、畜产品加工技术、畜产品质量控制与检测技术、畜产品质量安全风险评估技术的研究；同时面向疆内外畜牧养殖区域开展各种技术服务，以及畜产品种质资源信息服务工作。</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hint="eastAsia" w:ascii="黑体" w:hAnsi="黑体" w:eastAsia="黑体" w:cs="黑体"/>
          <w:b/>
          <w:bCs/>
          <w:sz w:val="32"/>
          <w:szCs w:val="32"/>
        </w:rPr>
      </w:pPr>
      <w:r>
        <w:rPr>
          <w:rFonts w:hint="eastAsia" w:ascii="黑体" w:hAnsi="黑体" w:eastAsia="黑体" w:cs="黑体"/>
          <w:b/>
          <w:bCs/>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新疆畜牧科学院畜牧业质量标准研究所（新疆维吾尔自治区种羊与羊毛羊绒质量安全监督检验中心）2024年度，实有人数56人，其中：在职人员38人，较上年无变化；离休人员0人，较上年无变化；退休人员18人，增加1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新疆畜牧科学院畜牧业质量标准研究所（新疆维吾尔自治区种羊与羊毛羊绒质量安全监督检验中心）无下属预算单位，下设7个科室，分别是：业务室、办公室、检测一室、检测二室、技术推广服务室、风险评估实验室、奶业研究中心。</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rPr>
      </w:pPr>
      <w:r>
        <w:rPr>
          <w:rFonts w:hint="eastAsia" w:ascii="仿宋_GB2312" w:hAnsi="仿宋_GB2312" w:eastAsia="仿宋_GB2312" w:cs="仿宋_GB2312"/>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hint="eastAsia" w:ascii="黑体" w:hAnsi="黑体" w:eastAsia="黑体" w:cs="黑体"/>
          <w:b/>
          <w:bCs/>
          <w:sz w:val="32"/>
          <w:szCs w:val="32"/>
        </w:rPr>
      </w:pPr>
      <w:r>
        <w:rPr>
          <w:rFonts w:hint="eastAsia" w:ascii="黑体" w:hAnsi="黑体" w:eastAsia="黑体" w:cs="黑体"/>
          <w:b/>
          <w:bCs/>
          <w:sz w:val="32"/>
          <w:szCs w:val="32"/>
        </w:rPr>
        <w:t>第二部分部</w:t>
      </w: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hint="eastAsia" w:ascii="黑体" w:hAnsi="黑体" w:eastAsia="黑体" w:cs="黑体"/>
          <w:b/>
          <w:bCs/>
          <w:sz w:val="32"/>
          <w:szCs w:val="32"/>
        </w:rPr>
      </w:pPr>
      <w:r>
        <w:rPr>
          <w:rFonts w:hint="eastAsia" w:ascii="黑体" w:hAnsi="黑体" w:eastAsia="黑体" w:cs="黑体"/>
          <w:b/>
          <w:bCs/>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2024年度收入总计3,723.37万元，</w:t>
      </w:r>
      <w:r>
        <w:rPr>
          <w:rFonts w:hint="eastAsia" w:ascii="仿宋_GB2312" w:hAnsi="仿宋_GB2312" w:eastAsia="仿宋_GB2312" w:cs="仿宋_GB2312"/>
          <w:b w:val="0"/>
          <w:sz w:val="32"/>
          <w:szCs w:val="32"/>
        </w:rPr>
        <w:t>其中：本年收入合计2,508.86万元，使用非财政拨款结余（含专用结余）0.00万元，年初结转和结余1,214.51万元。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2024年度支出总计3,723.37万元，</w:t>
      </w:r>
      <w:r>
        <w:rPr>
          <w:rFonts w:hint="eastAsia" w:ascii="仿宋_GB2312" w:hAnsi="仿宋_GB2312" w:eastAsia="仿宋_GB2312" w:cs="仿宋_GB2312"/>
          <w:b w:val="0"/>
          <w:sz w:val="32"/>
          <w:szCs w:val="32"/>
        </w:rPr>
        <w:t>其中：本年支出合计2,796.96万元，结余分配0.00万元，年末结转和结余926.41万元。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收入支出总体与上年相比，</w:t>
      </w:r>
      <w:r>
        <w:rPr>
          <w:rFonts w:hint="eastAsia" w:ascii="仿宋_GB2312" w:hAnsi="仿宋_GB2312" w:eastAsia="仿宋_GB2312" w:cs="仿宋_GB2312"/>
          <w:b w:val="0"/>
          <w:sz w:val="32"/>
          <w:szCs w:val="32"/>
        </w:rPr>
        <w:t>增加20.17万元，增长0.54%，主要原因是：我单位2024年度收入</w:t>
      </w:r>
      <w:r>
        <w:rPr>
          <w:rFonts w:hint="eastAsia" w:ascii="仿宋_GB2312" w:hAnsi="仿宋_GB2312" w:eastAsia="仿宋_GB2312" w:cs="仿宋_GB2312"/>
          <w:b w:val="0"/>
          <w:sz w:val="32"/>
          <w:szCs w:val="32"/>
          <w:lang w:val="en-US" w:eastAsia="zh-CN"/>
        </w:rPr>
        <w:t>与</w:t>
      </w:r>
      <w:r>
        <w:rPr>
          <w:rFonts w:hint="eastAsia" w:ascii="仿宋_GB2312" w:hAnsi="仿宋_GB2312" w:eastAsia="仿宋_GB2312" w:cs="仿宋_GB2312"/>
          <w:b w:val="0"/>
          <w:sz w:val="32"/>
          <w:szCs w:val="32"/>
        </w:rPr>
        <w:t>2023年度</w:t>
      </w:r>
      <w:r>
        <w:rPr>
          <w:rFonts w:hint="eastAsia" w:ascii="仿宋_GB2312" w:hAnsi="仿宋_GB2312" w:eastAsia="仿宋_GB2312" w:cs="仿宋_GB2312"/>
          <w:b w:val="0"/>
          <w:sz w:val="32"/>
          <w:szCs w:val="32"/>
          <w:lang w:val="en-US" w:eastAsia="zh-CN"/>
        </w:rPr>
        <w:t>相比</w:t>
      </w:r>
      <w:r>
        <w:rPr>
          <w:rFonts w:hint="eastAsia" w:ascii="仿宋_GB2312" w:hAnsi="仿宋_GB2312" w:eastAsia="仿宋_GB2312" w:cs="仿宋_GB2312"/>
          <w:b w:val="0"/>
          <w:sz w:val="32"/>
          <w:szCs w:val="32"/>
        </w:rPr>
        <w:t>减少3.49%，其中：财政拨款收入减少2.5%，事业收入减少70.34%，其他收入增加0.74%；变动较大的事业收入由于单位对外技术服务与检测费收入减少导致。我单位 2024年度支出比2023年度增加12.48%，其中基本支出增加9.34%，为人员正常调资增长变动；项目支出比上年增加14.19%，本年新增及延续项目支出增长变动。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hint="eastAsia" w:ascii="黑体" w:hAnsi="黑体" w:eastAsia="黑体" w:cs="黑体"/>
          <w:b/>
          <w:bCs/>
          <w:sz w:val="32"/>
          <w:szCs w:val="32"/>
        </w:rPr>
      </w:pPr>
      <w:r>
        <w:rPr>
          <w:rFonts w:hint="eastAsia" w:ascii="黑体" w:hAnsi="黑体" w:eastAsia="黑体" w:cs="黑体"/>
          <w:b/>
          <w:bCs/>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本年收入2,508.86万元，</w:t>
      </w:r>
      <w:r>
        <w:rPr>
          <w:rFonts w:hint="eastAsia" w:ascii="仿宋_GB2312" w:hAnsi="仿宋_GB2312" w:eastAsia="仿宋_GB2312" w:cs="仿宋_GB2312"/>
          <w:b w:val="0"/>
          <w:sz w:val="32"/>
          <w:szCs w:val="32"/>
        </w:rPr>
        <w:t>其中：财政拨款收入1,726.92万元,占68.83%；上级补助收入0.00万元,占0.00%；事业收入21.90万元，占0.87%；经营收入0.00万元,占0.00%；附属单位上缴收入0.00万元，占0.00%；其他收入760.04万元，占30.29%。</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hint="eastAsia" w:ascii="黑体" w:hAnsi="黑体" w:eastAsia="黑体" w:cs="黑体"/>
          <w:b/>
          <w:bCs/>
          <w:sz w:val="32"/>
          <w:szCs w:val="32"/>
        </w:rPr>
      </w:pPr>
      <w:r>
        <w:rPr>
          <w:rFonts w:hint="eastAsia" w:ascii="黑体" w:hAnsi="黑体" w:eastAsia="黑体" w:cs="黑体"/>
          <w:b/>
          <w:bCs/>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本年支出2,796.96万元，</w:t>
      </w:r>
      <w:r>
        <w:rPr>
          <w:rFonts w:hint="eastAsia" w:ascii="仿宋_GB2312" w:hAnsi="仿宋_GB2312" w:eastAsia="仿宋_GB2312" w:cs="仿宋_GB2312"/>
          <w:b w:val="0"/>
          <w:sz w:val="32"/>
          <w:szCs w:val="32"/>
        </w:rPr>
        <w:t>其中：基本支出958.95万元，占34.29%；项目支出1,838.01万元，占65.71%；上缴上级支出0.00万元，占0.00%；经营支出0.00万元，占0.00%；对附属单位补助支出0.00万元，占0.00%。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hint="eastAsia" w:ascii="黑体" w:hAnsi="黑体" w:eastAsia="黑体" w:cs="黑体"/>
          <w:b/>
          <w:bCs/>
          <w:sz w:val="32"/>
          <w:szCs w:val="32"/>
        </w:rPr>
      </w:pPr>
      <w:r>
        <w:rPr>
          <w:rFonts w:hint="eastAsia" w:ascii="黑体" w:hAnsi="黑体" w:eastAsia="黑体" w:cs="黑体"/>
          <w:b/>
          <w:bCs/>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hAnsi="仿宋_GB2312" w:eastAsia="仿宋_GB2312" w:cs="仿宋_GB2312"/>
          <w:b w:val="0"/>
          <w:sz w:val="32"/>
          <w:szCs w:val="32"/>
        </w:rPr>
      </w:pPr>
      <w:r>
        <w:rPr>
          <w:rFonts w:hint="eastAsia" w:ascii="仿宋_GB2312" w:hAnsi="仿宋_GB2312" w:eastAsia="仿宋_GB2312" w:cs="仿宋_GB2312"/>
          <w:b/>
          <w:bCs/>
          <w:sz w:val="32"/>
          <w:szCs w:val="32"/>
        </w:rPr>
        <w:t>2024年度财政拨款收入总计1,730.78万元，</w:t>
      </w:r>
      <w:r>
        <w:rPr>
          <w:rFonts w:hint="eastAsia" w:ascii="仿宋_GB2312" w:hAnsi="仿宋_GB2312" w:eastAsia="仿宋_GB2312" w:cs="仿宋_GB2312"/>
          <w:b w:val="0"/>
          <w:sz w:val="32"/>
          <w:szCs w:val="32"/>
        </w:rPr>
        <w:t>其中：年初财政拨款结转和结余3.86万元，本年财政拨款收入1,726.92万元。财政拨款支出总计1,730.78万元，其中：年末财政拨款结转和结余0.00万元，本年财政拨款支出1,730.78万元。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hAnsi="仿宋_GB2312" w:eastAsia="仿宋_GB2312" w:cs="仿宋_GB2312"/>
          <w:b w:val="0"/>
          <w:sz w:val="32"/>
          <w:szCs w:val="32"/>
        </w:rPr>
      </w:pPr>
      <w:r>
        <w:rPr>
          <w:rFonts w:hint="eastAsia" w:ascii="仿宋_GB2312" w:hAnsi="仿宋_GB2312" w:eastAsia="仿宋_GB2312" w:cs="仿宋_GB2312"/>
          <w:b/>
          <w:bCs/>
          <w:sz w:val="32"/>
          <w:szCs w:val="32"/>
        </w:rPr>
        <w:t>财政拨款收入支出总体与上年相比，</w:t>
      </w:r>
      <w:r>
        <w:rPr>
          <w:rFonts w:hint="eastAsia" w:ascii="仿宋_GB2312" w:hAnsi="仿宋_GB2312" w:eastAsia="仿宋_GB2312" w:cs="仿宋_GB2312"/>
          <w:b w:val="0"/>
          <w:sz w:val="32"/>
          <w:szCs w:val="32"/>
        </w:rPr>
        <w:t>减少40.48万元，下降2.29%，主要原因是：</w:t>
      </w:r>
      <w:r>
        <w:rPr>
          <w:rFonts w:hint="eastAsia" w:ascii="仿宋_GB2312" w:hAnsi="仿宋_GB2312" w:eastAsia="仿宋_GB2312" w:cs="仿宋_GB2312"/>
          <w:b w:val="0"/>
          <w:sz w:val="32"/>
          <w:szCs w:val="32"/>
          <w:lang w:val="en-US" w:eastAsia="zh-CN"/>
        </w:rPr>
        <w:t>我单位2024年度较2023年相比减少三区科技人才支持计划项目经费，此外人才发展基金项目财政拨款经费较上年有所减少。</w:t>
      </w:r>
      <w:r>
        <w:rPr>
          <w:rFonts w:hint="eastAsia" w:ascii="仿宋_GB2312" w:hAnsi="仿宋_GB2312" w:eastAsia="仿宋_GB2312" w:cs="仿宋_GB2312"/>
          <w:b/>
          <w:bCs/>
          <w:sz w:val="32"/>
          <w:szCs w:val="32"/>
        </w:rPr>
        <w:t>与年初预算相比，</w:t>
      </w:r>
      <w:r>
        <w:rPr>
          <w:rFonts w:hint="eastAsia" w:ascii="仿宋_GB2312" w:hAnsi="仿宋_GB2312" w:eastAsia="仿宋_GB2312" w:cs="仿宋_GB2312"/>
          <w:b w:val="0"/>
          <w:sz w:val="32"/>
          <w:szCs w:val="32"/>
        </w:rPr>
        <w:t>年初预算数1,289.99万元，决算数1,730.78万元，预决算差异率34.17%，主要原因是：我单位2024年度新增2060208科研创新平台人才团队支持计划等财政拨款项目及人员基本工资调资,未编入年初预</w:t>
      </w:r>
      <w:r>
        <w:rPr>
          <w:rFonts w:hint="eastAsia" w:ascii="仿宋_GB2312" w:hAnsi="仿宋_GB2312" w:eastAsia="仿宋_GB2312" w:cs="仿宋_GB2312"/>
          <w:b w:val="0"/>
          <w:sz w:val="32"/>
          <w:szCs w:val="32"/>
          <w:lang w:val="en-US" w:eastAsia="zh-CN"/>
        </w:rPr>
        <w:t>算</w:t>
      </w:r>
      <w:r>
        <w:rPr>
          <w:rFonts w:hint="eastAsia" w:ascii="仿宋_GB2312" w:hAnsi="仿宋_GB2312" w:eastAsia="仿宋_GB2312" w:cs="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hint="eastAsia" w:ascii="黑体" w:hAnsi="黑体" w:eastAsia="黑体" w:cs="黑体"/>
          <w:b w:val="0"/>
          <w:sz w:val="32"/>
          <w:szCs w:val="32"/>
        </w:rPr>
      </w:pPr>
      <w:r>
        <w:rPr>
          <w:rFonts w:hint="eastAsia" w:ascii="黑体" w:hAnsi="黑体" w:eastAsia="黑体" w:cs="黑体"/>
          <w:b/>
          <w:bCs/>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val="0"/>
          <w:sz w:val="32"/>
          <w:szCs w:val="32"/>
        </w:rPr>
      </w:pPr>
      <w:r>
        <w:rPr>
          <w:rFonts w:hint="eastAsia" w:ascii="黑体" w:hAnsi="黑体" w:eastAsia="黑体" w:cs="黑体"/>
          <w:b/>
          <w:bCs/>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hAnsi="仿宋_GB2312" w:eastAsia="仿宋_GB2312" w:cs="仿宋_GB2312"/>
          <w:b w:val="0"/>
          <w:sz w:val="32"/>
          <w:szCs w:val="32"/>
        </w:rPr>
      </w:pPr>
      <w:r>
        <w:rPr>
          <w:rFonts w:hint="eastAsia" w:ascii="仿宋_GB2312" w:hAnsi="仿宋_GB2312" w:eastAsia="仿宋_GB2312" w:cs="仿宋_GB2312"/>
          <w:b/>
          <w:bCs/>
          <w:sz w:val="32"/>
          <w:szCs w:val="32"/>
        </w:rPr>
        <w:t>2024年度一般公共预算财政拨款支出1,730.78万元，</w:t>
      </w:r>
      <w:r>
        <w:rPr>
          <w:rFonts w:hint="eastAsia" w:ascii="仿宋_GB2312" w:hAnsi="仿宋_GB2312" w:eastAsia="仿宋_GB2312" w:cs="仿宋_GB2312"/>
          <w:b w:val="0"/>
          <w:sz w:val="32"/>
          <w:szCs w:val="32"/>
        </w:rPr>
        <w:t>占本年支出合计的61.88%。</w:t>
      </w:r>
      <w:r>
        <w:rPr>
          <w:rFonts w:hint="eastAsia" w:ascii="仿宋_GB2312" w:hAnsi="仿宋_GB2312" w:eastAsia="仿宋_GB2312" w:cs="仿宋_GB2312"/>
          <w:b/>
          <w:bCs/>
          <w:sz w:val="32"/>
          <w:szCs w:val="32"/>
        </w:rPr>
        <w:t>与上年相比，</w:t>
      </w:r>
      <w:r>
        <w:rPr>
          <w:rFonts w:hint="eastAsia" w:ascii="仿宋_GB2312" w:hAnsi="仿宋_GB2312" w:eastAsia="仿宋_GB2312" w:cs="仿宋_GB2312"/>
          <w:b w:val="0"/>
          <w:sz w:val="32"/>
          <w:szCs w:val="32"/>
        </w:rPr>
        <w:t>减少34.54万元，下降1.96%，主要原因是：</w:t>
      </w:r>
      <w:r>
        <w:rPr>
          <w:rFonts w:hint="eastAsia" w:ascii="仿宋_GB2312" w:hAnsi="仿宋_GB2312" w:eastAsia="仿宋_GB2312" w:cs="仿宋_GB2312"/>
          <w:b w:val="0"/>
          <w:sz w:val="32"/>
          <w:szCs w:val="32"/>
          <w:lang w:val="en-US" w:eastAsia="zh-CN"/>
        </w:rPr>
        <w:t>我单位2024年度较2023年相比减少三区科技人才支持计划项目经费，此外人才发展基金项目财政拨款经费较上年有所减少。</w:t>
      </w:r>
      <w:r>
        <w:rPr>
          <w:rFonts w:hint="eastAsia" w:ascii="仿宋_GB2312" w:hAnsi="仿宋_GB2312" w:eastAsia="仿宋_GB2312" w:cs="仿宋_GB2312"/>
          <w:b/>
          <w:bCs/>
          <w:sz w:val="32"/>
          <w:szCs w:val="32"/>
        </w:rPr>
        <w:t>与年初预算相比，</w:t>
      </w:r>
      <w:r>
        <w:rPr>
          <w:rFonts w:hint="eastAsia" w:ascii="仿宋_GB2312" w:hAnsi="仿宋_GB2312" w:eastAsia="仿宋_GB2312" w:cs="仿宋_GB2312"/>
          <w:b w:val="0"/>
          <w:sz w:val="32"/>
          <w:szCs w:val="32"/>
        </w:rPr>
        <w:t>年初预算数1,289.99万元，决算数1,730.78万元，预决算差异率34.17%，主要原因是：我单位2024年度新增科研创新平台人才团队支持计划等财政拨款项目及人员基本工资调资,未编入年初预</w:t>
      </w:r>
      <w:r>
        <w:rPr>
          <w:rFonts w:hint="eastAsia" w:ascii="仿宋_GB2312" w:hAnsi="仿宋_GB2312" w:eastAsia="仿宋_GB2312" w:cs="仿宋_GB2312"/>
          <w:b w:val="0"/>
          <w:sz w:val="32"/>
          <w:szCs w:val="32"/>
          <w:lang w:val="en-US" w:eastAsia="zh-CN"/>
        </w:rPr>
        <w:t>算</w:t>
      </w:r>
      <w:r>
        <w:rPr>
          <w:rFonts w:hint="eastAsia" w:ascii="仿宋_GB2312" w:hAnsi="仿宋_GB2312" w:eastAsia="仿宋_GB2312" w:cs="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科学技术支出（类）1,066.78万元，占61.64%。</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社会保障和就业支出（类）145.00万元，占8.38%。</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农林水支出（类）519.00万元，占29.99%。</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1、科学技术支出（类）基础研究（款）科技人才队伍建设（项）：支出决算数为100.00万元，比上年决算增加93.00万元，增长1,328.57%，主要原因是：我单位2024年度新增2060208科研创新平台人才团队支持计划100.00万元</w:t>
      </w:r>
      <w:r>
        <w:rPr>
          <w:rFonts w:hint="eastAsia" w:ascii="仿宋_GB2312" w:hAnsi="仿宋_GB2312" w:eastAsia="仿宋_GB2312" w:cs="仿宋_GB2312"/>
          <w:b w:val="0"/>
          <w:sz w:val="32"/>
          <w:szCs w:val="32"/>
          <w:lang w:eastAsia="zh-CN"/>
        </w:rPr>
        <w:t>，</w:t>
      </w:r>
      <w:r>
        <w:rPr>
          <w:rFonts w:hint="eastAsia" w:ascii="仿宋_GB2312" w:hAnsi="仿宋_GB2312" w:eastAsia="仿宋_GB2312" w:cs="仿宋_GB2312"/>
          <w:b w:val="0"/>
          <w:sz w:val="32"/>
          <w:szCs w:val="32"/>
          <w:lang w:val="en-US" w:eastAsia="zh-CN"/>
        </w:rPr>
        <w:t>2023年度未安排此项目</w:t>
      </w:r>
      <w:r>
        <w:rPr>
          <w:rFonts w:hint="eastAsia" w:ascii="仿宋_GB2312" w:hAnsi="仿宋_GB2312" w:eastAsia="仿宋_GB2312" w:cs="仿宋_GB2312"/>
          <w:b w:val="0"/>
          <w:sz w:val="32"/>
          <w:szCs w:val="32"/>
        </w:rPr>
        <w:t>；2023年度2060208科技人才队伍建设项目7.00万元，2024年度未安排此项目。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2、科学技术支出（类）应用研究（款）机构运行（项）：支出决算数为958.95万元，比上年决算增加81.96万元，增长9.35%，主要原因是：2024年度人员正常工资晋升及工资普调形成的增长变动。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hint="eastAsia" w:ascii="仿宋_GB2312" w:hAnsi="仿宋_GB2312" w:eastAsia="仿宋_GB2312" w:cs="仿宋_GB2312"/>
          <w:b w:val="0"/>
          <w:sz w:val="32"/>
          <w:szCs w:val="32"/>
        </w:rPr>
        <w:t>3、科学技术支出（类）科技条件与服务（款）其他科技条件与服务支出（项）：支出决算数为7.83万元，比上年决</w:t>
      </w:r>
      <w:r>
        <w:rPr>
          <w:rFonts w:ascii="仿宋_GB2312" w:eastAsia="仿宋_GB2312"/>
          <w:b w:val="0"/>
          <w:sz w:val="32"/>
          <w:szCs w:val="32"/>
        </w:rPr>
        <w:t>算减少2.81万元，下降26.41%，主要原因是：我单位2024年度2060599三区人才项目</w:t>
      </w:r>
      <w:r>
        <w:rPr>
          <w:rFonts w:hint="eastAsia" w:ascii="仿宋_GB2312" w:eastAsia="仿宋_GB2312"/>
          <w:b w:val="0"/>
          <w:sz w:val="32"/>
          <w:szCs w:val="32"/>
          <w:lang w:val="en-US" w:eastAsia="zh-CN"/>
        </w:rPr>
        <w:t>较上年有所减少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4、科学技术支出（类）其他科学技术支出（款）其他科学技术支出（项）：支出决算数为0.00万元，比上年决算减少400.00万元，下降100.00%，主要原因是：我单位2023年度2069999其他科学技术支出类项目，2024年度未安排此类项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5、社会保障和就业支出（类）人力资源和社会保障管理事务（款）其他人力资源和社会保障管理事务支出（项）：支出决算数为145.00万元，比上年决算增加145.00万元，增长100.00%，主要原因是：我单位2023年度未安排2080199其他人力资源和社会保障管理事务支出项目，2024年度新增</w:t>
      </w:r>
      <w:r>
        <w:rPr>
          <w:rFonts w:hint="eastAsia" w:ascii="仿宋_GB2312" w:eastAsia="仿宋_GB2312"/>
          <w:b w:val="0"/>
          <w:sz w:val="32"/>
          <w:szCs w:val="32"/>
          <w:lang w:val="en-US" w:eastAsia="zh-CN"/>
        </w:rPr>
        <w:t>天池英才引进计划-特聘专家项目</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6、农林水支出（类）农业农村（款）科技转化与推广服务（项）：支出决算数为121.00万元，比上年决算增加121.00万元，增长100.00%，主要原因是：我单位2023年度未安排2130106科技转化与推广服务项目，2024年度新增</w:t>
      </w:r>
      <w:r>
        <w:rPr>
          <w:rFonts w:hint="eastAsia" w:ascii="仿宋_GB2312" w:eastAsia="仿宋_GB2312"/>
          <w:b w:val="0"/>
          <w:sz w:val="32"/>
          <w:szCs w:val="32"/>
          <w:lang w:val="en-US" w:eastAsia="zh-CN"/>
        </w:rPr>
        <w:t>天山英才培养计划14.00万元、产业技术创新团队支持计划93.00万元、智力援疆创新拓展人才计划14.00万元项目</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7、农林水支出（类）农业农村（款）农业生产发展（项）：支出决算数为398.00万元，比上年决算减少72.69万元，下降15.44%，主要原因是：我单位2023年度2130122农业生产发展项目，2024年度未</w:t>
      </w:r>
      <w:r>
        <w:rPr>
          <w:rFonts w:hint="eastAsia" w:ascii="仿宋_GB2312" w:eastAsia="仿宋_GB2312"/>
          <w:b w:val="0"/>
          <w:sz w:val="32"/>
          <w:szCs w:val="32"/>
          <w:lang w:val="en-US" w:eastAsia="zh-CN"/>
        </w:rPr>
        <w:t>安排</w:t>
      </w:r>
      <w:r>
        <w:rPr>
          <w:rFonts w:ascii="仿宋_GB2312" w:eastAsia="仿宋_GB2312"/>
          <w:b w:val="0"/>
          <w:sz w:val="32"/>
          <w:szCs w:val="32"/>
        </w:rPr>
        <w:t>此类项目。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2024年度一般公共预算财政拨款基本支出958.95万元，其中：</w:t>
      </w:r>
      <w:r>
        <w:rPr>
          <w:rFonts w:ascii="仿宋_GB2312" w:eastAsia="仿宋_GB2312"/>
          <w:b/>
          <w:bCs/>
          <w:sz w:val="32"/>
          <w:szCs w:val="32"/>
        </w:rPr>
        <w:t>人员经费885.94万元，</w:t>
      </w:r>
      <w:r>
        <w:rPr>
          <w:rFonts w:ascii="仿宋_GB2312" w:eastAsia="仿宋_GB2312"/>
          <w:b w:val="0"/>
          <w:sz w:val="32"/>
          <w:szCs w:val="32"/>
        </w:rPr>
        <w:t>包括：基本工资、津贴补贴、奖金、绩效工资、机关事业单位基本养老保险缴费、职业年金缴费、职工基本医疗保险缴费、公务员医疗补助缴费、其他社会保障缴费、住房公积金和退休费。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b w:val="0"/>
          <w:sz w:val="32"/>
          <w:szCs w:val="32"/>
        </w:rPr>
      </w:pPr>
      <w:r>
        <w:rPr>
          <w:rFonts w:ascii="仿宋_GB2312" w:eastAsia="仿宋_GB2312"/>
          <w:b/>
          <w:bCs/>
          <w:sz w:val="32"/>
          <w:szCs w:val="32"/>
        </w:rPr>
        <w:t>公用经费73.01万元，</w:t>
      </w:r>
      <w:r>
        <w:rPr>
          <w:rFonts w:ascii="仿宋_GB2312" w:eastAsia="仿宋_GB2312"/>
          <w:b w:val="0"/>
          <w:sz w:val="32"/>
          <w:szCs w:val="32"/>
        </w:rPr>
        <w:t>包括：办公费、电费、邮电费、取暖费、物业管理费、差旅费、工会经费、福利费、其他交通费用和其他商品和服务支出。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b w:val="0"/>
          <w:sz w:val="32"/>
          <w:szCs w:val="32"/>
        </w:rPr>
      </w:pPr>
      <w:r>
        <w:rPr>
          <w:rFonts w:ascii="仿宋_GB2312" w:eastAsia="仿宋_GB2312"/>
          <w:b/>
          <w:bCs/>
          <w:sz w:val="32"/>
          <w:szCs w:val="32"/>
        </w:rPr>
        <w:t>2024年度财政拨款</w:t>
      </w:r>
      <w:r>
        <w:rPr>
          <w:rFonts w:hint="eastAsia" w:ascii="新宋体_GB2312" w:hAnsi="新宋体_GB2312" w:eastAsia="新宋体_GB2312" w:cs="新宋体_GB2312"/>
          <w:b/>
          <w:bCs/>
          <w:sz w:val="32"/>
          <w:szCs w:val="32"/>
        </w:rPr>
        <w:t>“三公”</w:t>
      </w:r>
      <w:r>
        <w:rPr>
          <w:rFonts w:ascii="仿宋_GB2312" w:eastAsia="仿宋_GB2312"/>
          <w:b/>
          <w:bCs/>
          <w:sz w:val="32"/>
          <w:szCs w:val="32"/>
        </w:rPr>
        <w:t>经费支出0.00万元，</w:t>
      </w:r>
      <w:r>
        <w:rPr>
          <w:rFonts w:ascii="仿宋_GB2312" w:eastAsia="仿宋_GB2312"/>
          <w:b w:val="0"/>
          <w:sz w:val="32"/>
          <w:szCs w:val="32"/>
        </w:rPr>
        <w:t>与上年相比无变化，主要原因是：我单位2023年度与2024年度均未安排此类经费。其中：因公出国（境）费支出0.00万元,占0.00%，与上年相比无变化，主要原因是：我单位2023年度与2024年度均未安排因公出国（境）费；公务用车购置及运行维护费支出0.00万元，占0.00%，与上年相比无变化，主要原因是：我单位2023年度与2024年度均未安排公务用车购置及运行维护费；公务接待费支出0.00万元，占0.00%，与上年相比无变化，主要原因是：我单位2023年度与2024年度均未安排公务接待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b/>
          <w:bCs/>
          <w:sz w:val="32"/>
          <w:szCs w:val="32"/>
        </w:rPr>
      </w:pPr>
      <w:r>
        <w:rPr>
          <w:rFonts w:ascii="仿宋_GB2312" w:eastAsia="仿宋_GB2312"/>
          <w:b/>
          <w:bCs/>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因公出国（境）费支出0.00万元，开支内容包括主要原因是我单位2023年度与2024年度均未安排因公出国（境）费。单位全年安排的因公出国（境）团组0个，因公出国（境）0人次。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公务用车购置及运行维护费0.00万元，其中：公务用车购置费0.00万元，公务用车运行维护费0.00万元。公务用车运行维护费开支内容包括我单位2023年度与2024年度均未安排公务用车运行</w:t>
      </w:r>
      <w:r>
        <w:rPr>
          <w:rFonts w:hint="eastAsia" w:ascii="仿宋_GB2312" w:eastAsia="仿宋_GB2312"/>
          <w:b w:val="0"/>
          <w:sz w:val="32"/>
          <w:szCs w:val="32"/>
          <w:lang w:val="en-US" w:eastAsia="zh-CN"/>
        </w:rPr>
        <w:t>维护</w:t>
      </w:r>
      <w:r>
        <w:rPr>
          <w:rFonts w:ascii="仿宋_GB2312" w:eastAsia="仿宋_GB2312"/>
          <w:b w:val="0"/>
          <w:sz w:val="32"/>
          <w:szCs w:val="32"/>
        </w:rPr>
        <w:t>费。公务用车购置数0辆，公务用车保有量0辆。国有资产占用情况中固定资产车辆5辆，与公务用车保有量差异原因是：我单位2023年度与2024年度均未安排公务用车购置费。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公务接待费0.00万元，开支内容包括我单位2023年度与2024年度均未安排公务接待费。单位全年安排的国内公务接待0批次，0人次。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b w:val="0"/>
          <w:sz w:val="32"/>
          <w:szCs w:val="32"/>
        </w:rPr>
      </w:pPr>
      <w:r>
        <w:rPr>
          <w:rFonts w:ascii="仿宋_GB2312" w:eastAsia="仿宋_GB2312"/>
          <w:b/>
          <w:bCs/>
          <w:sz w:val="32"/>
          <w:szCs w:val="32"/>
        </w:rPr>
        <w:t>与全年预算相比，</w:t>
      </w:r>
      <w:r>
        <w:rPr>
          <w:rFonts w:ascii="仿宋_GB2312" w:eastAsia="仿宋_GB2312"/>
          <w:b w:val="0"/>
          <w:sz w:val="32"/>
          <w:szCs w:val="32"/>
        </w:rPr>
        <w:t>财政拨款</w:t>
      </w:r>
      <w:r>
        <w:rPr>
          <w:rFonts w:hint="eastAsia" w:ascii="方正仿宋_GB2312" w:hAnsi="方正仿宋_GB2312" w:eastAsia="方正仿宋_GB2312" w:cs="方正仿宋_GB2312"/>
          <w:b w:val="0"/>
          <w:sz w:val="32"/>
          <w:szCs w:val="32"/>
        </w:rPr>
        <w:t>“三公”</w:t>
      </w:r>
      <w:r>
        <w:rPr>
          <w:rFonts w:ascii="仿宋_GB2312" w:eastAsia="仿宋_GB2312"/>
          <w:b w:val="0"/>
          <w:sz w:val="32"/>
          <w:szCs w:val="32"/>
        </w:rPr>
        <w:t>经费支出全年预算数0.00万元，决算数0.00万元，预决算差异率0.00%，主要原因是：我单位2023、2024年两年均为安排</w:t>
      </w:r>
      <w:r>
        <w:rPr>
          <w:rFonts w:hint="eastAsia" w:ascii="仿宋_GB2312" w:hAnsi="仿宋_GB2312" w:eastAsia="仿宋_GB2312" w:cs="仿宋_GB2312"/>
          <w:b w:val="0"/>
          <w:sz w:val="32"/>
          <w:szCs w:val="32"/>
        </w:rPr>
        <w:t>“三公”</w:t>
      </w:r>
      <w:r>
        <w:rPr>
          <w:rFonts w:ascii="仿宋_GB2312" w:eastAsia="仿宋_GB2312"/>
          <w:b w:val="0"/>
          <w:sz w:val="32"/>
          <w:szCs w:val="32"/>
        </w:rPr>
        <w:t>经费预算。其中：因公出国（境）费全年预算数0.00万元，决算数0.00万元，预决算差异率0.00%，主要原因是：是我单位2023年度与2024年度均未安排因公出国（境）费预算；公务用车购置费全年预算数0.00万元，决算数0.00万元，预决算差异率0.00%，主要原因是：我单位2023年度与2024年度均未安排公务用车购置费预算；公务用车运行维护费全年预算数0.00万元，决算数0.00万元，预决算差异率0.00%，主要原因是：我单位2023年度与2024年度均未安排公务用车</w:t>
      </w:r>
      <w:r>
        <w:rPr>
          <w:rFonts w:hint="eastAsia" w:ascii="仿宋_GB2312" w:eastAsia="仿宋_GB2312"/>
          <w:b w:val="0"/>
          <w:sz w:val="32"/>
          <w:szCs w:val="32"/>
          <w:lang w:val="en-US" w:eastAsia="zh-CN"/>
        </w:rPr>
        <w:t>运行维护</w:t>
      </w:r>
      <w:r>
        <w:rPr>
          <w:rFonts w:ascii="仿宋_GB2312" w:eastAsia="仿宋_GB2312"/>
          <w:b w:val="0"/>
          <w:sz w:val="32"/>
          <w:szCs w:val="32"/>
        </w:rPr>
        <w:t>费预算；公务接待费全年预算数0.00万元，决算数0.00万元，预决算差异率0.00%，主要原因是：我单位2023年度与2024年度均未安排公务接待费预算。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2024年度新疆畜牧科学院畜牧业质</w:t>
      </w:r>
      <w:bookmarkStart w:id="0" w:name="_GoBack"/>
      <w:bookmarkEnd w:id="0"/>
      <w:r>
        <w:rPr>
          <w:rFonts w:ascii="仿宋_GB2312" w:eastAsia="仿宋_GB2312"/>
          <w:b w:val="0"/>
          <w:sz w:val="32"/>
          <w:szCs w:val="32"/>
        </w:rPr>
        <w:t>量标准研究所（新疆维吾尔自治区种羊与羊毛羊绒质量安全监督检验中心）单位（事业单位）公用经费支出73.01万元，比上年增加11.95万元，增长19.57%，主要原因是：2024年度较2023年度增加人员工资调增及福利费工会费等相关费用按比例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2024年度政府采购支出总额67.91万元，其中：政府采购货物支出45.71万元、政府采购工程支出0.00万元、政府采购服务支出22.20万元。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授予中小企业合同金额22.20万元，占政府采购支出总额的32.69%，其中：授予小微企业合同金额22.20万元，占政府采购支出总额的32.69%。</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截至2024年12月31日，房屋0.00平方米，价值0.00万元。车辆5辆，价值134.61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7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根据预算绩效管理要求，本单位2024年度预算绩效评价项目2个，全年预算数1,625.10万元，全年执行数782.27万元。预算绩效管理取得的成效：一是开展科技服务，提升当地养殖水平意识，解决现有养殖问题。检测2500只绒山羊绒细度、白度、颜色等情况，筛选超细型绒山羊，挖掘极细、特细、优白、彩色等珍稀种质资源10只，挖掘与毛用性能和肉用性能等性状显著关联的候选基因5-10个；发表论文1篇，培训技术人员20人次。二是示范推广柯尔克孜羊种羊繁育及柯尔克孜羊质量控制技术工作，培育优良种羊 80 只，协助生产优质肉羊 400 只，协助生产优质绵羊毛 1000 公斤，申报专利 1 项，开展技术培训工作，培训人员 20 人。三是开发从骨原料中提取抗冻肽的方法，采用正交实验法优化提取效率，获得热滞活性在 2.0℃以上的抗冻多肽，以同种处理方式，对比三种天然保鲜剂对鲜羊肉的保鲜效果，从感官指标、理化指标，微生物指标等方面评价其对羊肉产品新鲜程度的影响。四是利用全转录沮测序技术分析被毛颜色不同的绒山羊（分别为黑色、棕黄色和白色）背部皮肤组织 lncRNA和mRNA表达情况。发现的问题及原因：一是预算绩效观念不深入，思想认识有误区；二是绩效管理专业人员匮乏，规范管理有盲点；三是评价结果运用不充分，推动作用有局限。下一步改进措施：一是统筹预算内外资金管理，以部门预算为重点，提高财政预算的全面、完整性。二是加强对预算监管力度。三是充分发挥政府财政投资评审及预算绩效管理的作用。具体附项目支出绩效自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hint="eastAsia" w:ascii="黑体" w:hAnsi="黑体" w:eastAsia="黑体" w:cs="黑体"/>
          <w:b/>
          <w:bCs/>
          <w:sz w:val="32"/>
          <w:szCs w:val="32"/>
        </w:rPr>
      </w:pPr>
      <w:r>
        <w:rPr>
          <w:rFonts w:hint="eastAsia" w:ascii="黑体" w:hAnsi="黑体" w:eastAsia="黑体" w:cs="黑体"/>
          <w:b/>
          <w:bCs/>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rPr>
      </w:pPr>
      <w:r>
        <w:rPr>
          <w:rFonts w:hint="eastAsia" w:ascii="仿宋_GB2312" w:hAnsi="仿宋_GB2312" w:eastAsia="仿宋_GB2312" w:cs="仿宋_GB2312"/>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hint="eastAsia" w:ascii="黑体" w:hAnsi="黑体" w:eastAsia="黑体" w:cs="黑体"/>
          <w:b/>
          <w:bCs/>
          <w:sz w:val="32"/>
          <w:szCs w:val="32"/>
        </w:rPr>
      </w:pPr>
      <w:r>
        <w:rPr>
          <w:rFonts w:hint="eastAsia" w:ascii="黑体" w:hAnsi="黑体" w:eastAsia="黑体" w:cs="黑体"/>
          <w:b/>
          <w:bCs/>
          <w:sz w:val="32"/>
          <w:szCs w:val="32"/>
        </w:rPr>
        <w:t>第三部分</w:t>
      </w: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一、财政拨款收入：</w:t>
      </w:r>
      <w:r>
        <w:rPr>
          <w:rFonts w:hint="eastAsia" w:ascii="仿宋_GB2312" w:hAnsi="仿宋_GB2312" w:eastAsia="仿宋_GB2312" w:cs="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二、上级补助收入：</w:t>
      </w:r>
      <w:r>
        <w:rPr>
          <w:rFonts w:hint="eastAsia" w:ascii="仿宋_GB2312" w:hAnsi="仿宋_GB2312" w:eastAsia="仿宋_GB2312" w:cs="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三、事业收入：</w:t>
      </w:r>
      <w:r>
        <w:rPr>
          <w:rFonts w:hint="eastAsia" w:ascii="仿宋_GB2312" w:hAnsi="仿宋_GB2312" w:eastAsia="仿宋_GB2312" w:cs="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四、经营收入：</w:t>
      </w:r>
      <w:r>
        <w:rPr>
          <w:rFonts w:hint="eastAsia" w:ascii="仿宋_GB2312" w:hAnsi="仿宋_GB2312" w:eastAsia="仿宋_GB2312" w:cs="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五、附属单位上缴收入：</w:t>
      </w:r>
      <w:r>
        <w:rPr>
          <w:rFonts w:hint="eastAsia" w:ascii="仿宋_GB2312" w:hAnsi="仿宋_GB2312" w:eastAsia="仿宋_GB2312" w:cs="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六、其他收入：</w:t>
      </w:r>
      <w:r>
        <w:rPr>
          <w:rFonts w:hint="eastAsia" w:ascii="仿宋_GB2312" w:hAnsi="仿宋_GB2312" w:eastAsia="仿宋_GB2312" w:cs="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七、年初结转和结余：</w:t>
      </w:r>
      <w:r>
        <w:rPr>
          <w:rFonts w:hint="eastAsia" w:ascii="仿宋_GB2312" w:hAnsi="仿宋_GB2312" w:eastAsia="仿宋_GB2312" w:cs="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八、年末结转和结余：</w:t>
      </w:r>
      <w:r>
        <w:rPr>
          <w:rFonts w:hint="eastAsia" w:ascii="仿宋_GB2312" w:hAnsi="仿宋_GB2312" w:eastAsia="仿宋_GB2312" w:cs="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九、基本支出：</w:t>
      </w:r>
      <w:r>
        <w:rPr>
          <w:rFonts w:hint="eastAsia" w:ascii="仿宋_GB2312" w:hAnsi="仿宋_GB2312" w:eastAsia="仿宋_GB2312" w:cs="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十、项目支出：</w:t>
      </w:r>
      <w:r>
        <w:rPr>
          <w:rFonts w:hint="eastAsia" w:ascii="仿宋_GB2312" w:hAnsi="仿宋_GB2312" w:eastAsia="仿宋_GB2312" w:cs="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十一、经营支出：</w:t>
      </w:r>
      <w:r>
        <w:rPr>
          <w:rFonts w:hint="eastAsia" w:ascii="仿宋_GB2312" w:hAnsi="仿宋_GB2312" w:eastAsia="仿宋_GB2312" w:cs="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十二、对附属单位补助支出：</w:t>
      </w:r>
      <w:r>
        <w:rPr>
          <w:rFonts w:hint="eastAsia" w:ascii="仿宋_GB2312" w:hAnsi="仿宋_GB2312" w:eastAsia="仿宋_GB2312" w:cs="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十三、“三公”经费：</w:t>
      </w:r>
      <w:r>
        <w:rPr>
          <w:rFonts w:hint="eastAsia" w:ascii="仿宋_GB2312" w:hAnsi="仿宋_GB2312" w:eastAsia="仿宋_GB2312" w:cs="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b/>
          <w:sz w:val="32"/>
          <w:szCs w:val="32"/>
        </w:rPr>
        <w:t>十四、机关运行经费：</w:t>
      </w:r>
      <w:r>
        <w:rPr>
          <w:rFonts w:hint="eastAsia" w:ascii="仿宋_GB2312" w:hAnsi="仿宋_GB2312" w:eastAsia="仿宋_GB2312" w:cs="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rPr>
      </w:pPr>
      <w:r>
        <w:rPr>
          <w:rFonts w:hint="eastAsia" w:ascii="仿宋_GB2312" w:hAnsi="仿宋_GB2312" w:eastAsia="仿宋_GB2312" w:cs="仿宋_GB2312"/>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hint="eastAsia" w:ascii="黑体" w:hAnsi="黑体" w:eastAsia="黑体" w:cs="黑体"/>
          <w:b/>
          <w:bCs/>
          <w:sz w:val="32"/>
          <w:szCs w:val="32"/>
        </w:rPr>
      </w:pPr>
      <w:r>
        <w:rPr>
          <w:rFonts w:hint="eastAsia" w:ascii="黑体" w:hAnsi="黑体" w:eastAsia="黑体" w:cs="黑体"/>
          <w:b/>
          <w:bCs/>
          <w:sz w:val="32"/>
          <w:szCs w:val="32"/>
        </w:rPr>
        <w:t>第四部分部门</w:t>
      </w: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黑体"/>
          <w:b w:val="0"/>
          <w:sz w:val="32"/>
          <w:szCs w:val="32"/>
        </w:rPr>
        <w:t>一、</w:t>
      </w:r>
      <w:r>
        <w:rPr>
          <w:rFonts w:hint="eastAsia" w:ascii="仿宋_GB2312" w:hAnsi="仿宋_GB2312" w:eastAsia="仿宋_GB2312" w:cs="仿宋_GB2312"/>
          <w:b w:val="0"/>
          <w:sz w:val="32"/>
          <w:szCs w:val="32"/>
        </w:rPr>
        <w:t>《收入支出决算总表》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黑体"/>
          <w:b w:val="0"/>
          <w:sz w:val="32"/>
          <w:szCs w:val="32"/>
        </w:rPr>
        <w:t>二、</w:t>
      </w:r>
      <w:r>
        <w:rPr>
          <w:rFonts w:hint="eastAsia" w:ascii="仿宋_GB2312" w:hAnsi="仿宋_GB2312" w:eastAsia="仿宋_GB2312" w:cs="仿宋_GB2312"/>
          <w:b w:val="0"/>
          <w:sz w:val="32"/>
          <w:szCs w:val="32"/>
        </w:rPr>
        <w:t>《收入决算表》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黑体"/>
          <w:b w:val="0"/>
          <w:sz w:val="32"/>
          <w:szCs w:val="32"/>
        </w:rPr>
        <w:t>三、</w:t>
      </w:r>
      <w:r>
        <w:rPr>
          <w:rFonts w:hint="eastAsia" w:ascii="仿宋_GB2312" w:hAnsi="仿宋_GB2312" w:eastAsia="仿宋_GB2312" w:cs="仿宋_GB2312"/>
          <w:b w:val="0"/>
          <w:sz w:val="32"/>
          <w:szCs w:val="32"/>
        </w:rPr>
        <w:t>《支出决算表》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黑体"/>
          <w:b w:val="0"/>
          <w:sz w:val="32"/>
          <w:szCs w:val="32"/>
        </w:rPr>
        <w:t>四、</w:t>
      </w:r>
      <w:r>
        <w:rPr>
          <w:rFonts w:hint="eastAsia" w:ascii="仿宋_GB2312" w:hAnsi="仿宋_GB2312" w:eastAsia="仿宋_GB2312" w:cs="仿宋_GB2312"/>
          <w:b w:val="0"/>
          <w:sz w:val="32"/>
          <w:szCs w:val="32"/>
        </w:rPr>
        <w:t>《财政拨款收入支出决算总表》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黑体"/>
          <w:b w:val="0"/>
          <w:sz w:val="32"/>
          <w:szCs w:val="32"/>
        </w:rPr>
        <w:t>五、</w:t>
      </w:r>
      <w:r>
        <w:rPr>
          <w:rFonts w:hint="eastAsia" w:ascii="仿宋_GB2312" w:hAnsi="仿宋_GB2312" w:eastAsia="仿宋_GB2312" w:cs="仿宋_GB2312"/>
          <w:b w:val="0"/>
          <w:sz w:val="32"/>
          <w:szCs w:val="32"/>
        </w:rPr>
        <w:t>《一般公共预算财政拨款支出决算表》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黑体"/>
          <w:b w:val="0"/>
          <w:sz w:val="32"/>
          <w:szCs w:val="32"/>
        </w:rPr>
        <w:t>六、</w:t>
      </w:r>
      <w:r>
        <w:rPr>
          <w:rFonts w:hint="eastAsia" w:ascii="仿宋_GB2312" w:hAnsi="仿宋_GB2312" w:eastAsia="仿宋_GB2312" w:cs="仿宋_GB2312"/>
          <w:b w:val="0"/>
          <w:sz w:val="32"/>
          <w:szCs w:val="32"/>
        </w:rPr>
        <w:t>《一般公共预算财政拨款基本支出决算表》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黑体"/>
          <w:b w:val="0"/>
          <w:sz w:val="32"/>
          <w:szCs w:val="32"/>
        </w:rPr>
        <w:t>七、</w:t>
      </w:r>
      <w:r>
        <w:rPr>
          <w:rFonts w:hint="eastAsia" w:ascii="仿宋_GB2312" w:hAnsi="仿宋_GB2312" w:eastAsia="仿宋_GB2312" w:cs="仿宋_GB2312"/>
          <w:b w:val="0"/>
          <w:sz w:val="32"/>
          <w:szCs w:val="32"/>
        </w:rPr>
        <w:t>《政府性基金预算财政拨款收入支出决算表》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黑体"/>
          <w:b w:val="0"/>
          <w:sz w:val="32"/>
          <w:szCs w:val="32"/>
        </w:rPr>
        <w:t>八、</w:t>
      </w:r>
      <w:r>
        <w:rPr>
          <w:rFonts w:hint="eastAsia" w:ascii="仿宋_GB2312" w:hAnsi="仿宋_GB2312" w:eastAsia="仿宋_GB2312" w:cs="仿宋_GB2312"/>
          <w:b w:val="0"/>
          <w:sz w:val="32"/>
          <w:szCs w:val="32"/>
        </w:rPr>
        <w:t>《国有资本经营预算财政拨款收入支出决算表》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黑体"/>
          <w:b w:val="0"/>
          <w:sz w:val="32"/>
          <w:szCs w:val="32"/>
        </w:rPr>
        <w:t>九、</w:t>
      </w:r>
      <w:r>
        <w:rPr>
          <w:rFonts w:hint="eastAsia" w:ascii="仿宋_GB2312" w:hAnsi="仿宋_GB2312" w:eastAsia="仿宋_GB2312" w:cs="仿宋_GB2312"/>
          <w:b w:val="0"/>
          <w:sz w:val="32"/>
          <w:szCs w:val="32"/>
        </w:rPr>
        <w:t>《财政拨款“三公”经费支出决算表》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体_GB2312">
    <w:panose1 w:val="02010600030101010101"/>
    <w:charset w:val="86"/>
    <w:family w:val="auto"/>
    <w:pitch w:val="default"/>
    <w:sig w:usb0="800002BF" w:usb1="28CF7CFA" w:usb2="00000016" w:usb3="00000000" w:csb0="6016019D" w:csb1="D3F70000"/>
  </w:font>
  <w:font w:name="微软雅黑">
    <w:panose1 w:val="020B0503020204020204"/>
    <w:charset w:val="86"/>
    <w:family w:val="auto"/>
    <w:pitch w:val="default"/>
    <w:sig w:usb0="80000287" w:usb1="2ACF3C50" w:usb2="00000016" w:usb3="00000000" w:csb0="0004001F" w:csb1="00000000"/>
  </w:font>
  <w:font w:name="微软雅黑 Light">
    <w:panose1 w:val="020B0502040204020203"/>
    <w:charset w:val="86"/>
    <w:family w:val="auto"/>
    <w:pitch w:val="default"/>
    <w:sig w:usb0="80000287" w:usb1="2ACF0010" w:usb2="00000016" w:usb3="00000000" w:csb0="0004001F" w:csb1="00000000"/>
  </w:font>
  <w:font w:name="新宋体">
    <w:panose1 w:val="02010609030101010101"/>
    <w:charset w:val="86"/>
    <w:family w:val="auto"/>
    <w:pitch w:val="default"/>
    <w:sig w:usb0="00000203" w:usb1="288F0000" w:usb2="00000006" w:usb3="00000000" w:csb0="00040001" w:csb1="00000000"/>
  </w:font>
  <w:font w:name="新宋体_GB2312">
    <w:panose1 w:val="02010609030101010101"/>
    <w:charset w:val="86"/>
    <w:family w:val="auto"/>
    <w:pitch w:val="default"/>
    <w:sig w:usb0="800002BF" w:usb1="28CF7CFA" w:usb2="00000016" w:usb3="00000000" w:csb0="6016019D" w:csb1="D3F70000"/>
  </w:font>
  <w:font w:name="方正仿宋_GB2312">
    <w:panose1 w:val="02000000000000000000"/>
    <w:charset w:val="86"/>
    <w:family w:val="auto"/>
    <w:pitch w:val="default"/>
    <w:sig w:usb0="A00002BF" w:usb1="184F6CFA" w:usb2="00000012" w:usb3="00000000" w:csb0="00040001"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公文小标宋">
    <w:panose1 w:val="02000500000000000000"/>
    <w:charset w:val="86"/>
    <w:family w:val="auto"/>
    <w:pitch w:val="default"/>
    <w:sig w:usb0="A00002BF" w:usb1="38CF7CFA" w:usb2="00000016" w:usb3="00000000" w:csb0="00040001" w:csb1="00000000"/>
  </w:font>
  <w:font w:name="方正小标宋">
    <w:panose1 w:val="02000000000000000000"/>
    <w:charset w:val="86"/>
    <w:family w:val="auto"/>
    <w:pitch w:val="default"/>
    <w:sig w:usb0="A00002BF" w:usb1="39CF7CFA" w:usb2="0008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433C77"/>
    <w:rsid w:val="2E99757B"/>
    <w:rsid w:val="30984AC2"/>
    <w:rsid w:val="33DC1C00"/>
    <w:rsid w:val="4ABD7980"/>
    <w:rsid w:val="5C0317D3"/>
    <w:rsid w:val="6B0013F9"/>
    <w:rsid w:val="6BAC47A0"/>
    <w:rsid w:val="74D51F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88</TotalTime>
  <ScaleCrop>false</ScaleCrop>
  <LinksUpToDate>false</LinksUpToDate>
  <Application>WPS Office_10.8.0.6470_F1E327BC-269C-435d-A152-05C5408002CA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2025-08-21T07:30:00Z</dcterms:created>
  <dc:creator>Administrator</dc:creator>
  <cp:lastModifiedBy>Administrator</cp:lastModifiedBy>
  <dcterms:modified xsi:type="dcterms:W3CDTF">2025-08-27T04:39:17Z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01C50B27590F4C1DAF8D85F6E4B8B94C</vt:lpwstr>
  </property>
</Properties>
</file>