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3786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14:paraId="0ACC37F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62D4DA2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5044C79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253A94C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新疆畜牧科学院草业研究所</w:t>
      </w:r>
    </w:p>
    <w:p w14:paraId="4AAC2B9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14:paraId="1003056D">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3C575C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目录</w:t>
      </w:r>
    </w:p>
    <w:p w14:paraId="571BB23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109744B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254653F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290D6C4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14:paraId="606009F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1ECD6EF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11B0665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6443E30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0D9D01F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2623980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3968C85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72E6E4A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6C775F6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163D452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2B9FB84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B0C98D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7AAB900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3C42551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36482ED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71AF0D5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0E94953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073C301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1464FE0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14:paraId="5D8E72B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14:paraId="1783FBE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1CFB072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5D93A3B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37D0DFA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3BCB2DB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0AC7523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0BBE5DC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1349713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1013E68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117BD68B">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443642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754A4AC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174CF5B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畜牧科学院草业研究所是新疆唯一一家集科研、技术推广为一体的草业科学研究机构，其任务围绕着自治区草业科学新技术研究与应用技术的研发，主要以干旱区草地生态农业和草地资源与生态为重点建设学科。包括：草地资源动态监测与保护利用、草地生态与植被恢复、植物生物技术与遗传育种、牧草种质资源保护与创新利用、人工饲草料地建植与丰产栽培技术研究等。拥有植物生物技术实验室、3S技术实验室、新疆阜康草地农业生态实验站、农业部新疆驼绒藜等旱生牧草原种基地、新疆畜牧科学院草地动态监测站。</w:t>
      </w:r>
    </w:p>
    <w:p w14:paraId="7521401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3BA397F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新疆畜牧科学院草业研究所2024年度，实有人数108人，其中：在职人员59人，增加1人；离休人员0人，较上年无变化；退休人员49人，较上年无变化</w:t>
      </w:r>
      <w:r>
        <w:rPr>
          <w:rFonts w:hint="eastAsia" w:ascii="仿宋_GB2312" w:eastAsia="仿宋_GB2312"/>
          <w:b w:val="0"/>
          <w:sz w:val="32"/>
          <w:szCs w:val="32"/>
          <w:lang w:eastAsia="zh-CN"/>
        </w:rPr>
        <w:t>。</w:t>
      </w:r>
    </w:p>
    <w:p w14:paraId="2656883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新疆畜牧科学院草业研究所无下属预算单位，下设9个</w:t>
      </w:r>
      <w:r>
        <w:rPr>
          <w:rFonts w:hint="eastAsia" w:ascii="仿宋_GB2312" w:eastAsia="仿宋_GB2312"/>
          <w:b w:val="0"/>
          <w:sz w:val="32"/>
          <w:szCs w:val="32"/>
          <w:lang w:val="en-US" w:eastAsia="zh-CN"/>
        </w:rPr>
        <w:t>科</w:t>
      </w:r>
      <w:r>
        <w:rPr>
          <w:rFonts w:ascii="仿宋_GB2312" w:eastAsia="仿宋_GB2312"/>
          <w:b w:val="0"/>
          <w:sz w:val="32"/>
          <w:szCs w:val="32"/>
        </w:rPr>
        <w:t>室，分别是：行政办公室、财务室、草地资源与生态检测研究室、旱生牧草研究基地、草种质资源研究室、草地管理优化研究室、牧草生物技术实验室、草地遥感应用研究室、国家牧草产业技术体系昌吉综合实验站。</w:t>
      </w:r>
    </w:p>
    <w:p w14:paraId="1CB3211E">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254EF5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14:paraId="60E147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sz w:val="32"/>
          <w:szCs w:val="32"/>
        </w:rPr>
      </w:pPr>
      <w:r>
        <w:rPr>
          <w:rFonts w:ascii="黑体" w:eastAsia="黑体"/>
          <w:b/>
          <w:bCs/>
          <w:sz w:val="32"/>
          <w:szCs w:val="32"/>
        </w:rPr>
        <w:t>一、收入支出决算总体情况说明</w:t>
      </w:r>
    </w:p>
    <w:p w14:paraId="18AA22D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2024年度收入总计2,971.73万元，</w:t>
      </w:r>
      <w:r>
        <w:rPr>
          <w:rFonts w:ascii="仿宋_GB2312" w:eastAsia="仿宋_GB2312"/>
          <w:b w:val="0"/>
          <w:sz w:val="32"/>
          <w:szCs w:val="32"/>
        </w:rPr>
        <w:t>其中：本年收入合计2,574.90万元，使用非财政拨款结余（含专用结余）0.00万元，年初结转和结余396.84万元。</w:t>
      </w:r>
    </w:p>
    <w:p w14:paraId="6D1F0B9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2024年度支出总计2,971.73万元，</w:t>
      </w:r>
      <w:r>
        <w:rPr>
          <w:rFonts w:ascii="仿宋_GB2312" w:eastAsia="仿宋_GB2312"/>
          <w:b w:val="0"/>
          <w:sz w:val="32"/>
          <w:szCs w:val="32"/>
        </w:rPr>
        <w:t>其中：本年支出合计2,438.43万元，结余分配0.00万元，年末结转和结余533.31万元。</w:t>
      </w:r>
    </w:p>
    <w:p w14:paraId="13CBFB5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增加486.03万元，增长19.55%，主要原因是：</w:t>
      </w:r>
      <w:r>
        <w:rPr>
          <w:rFonts w:hint="eastAsia" w:ascii="仿宋_GB2312" w:eastAsia="仿宋_GB2312"/>
          <w:b w:val="0"/>
          <w:sz w:val="32"/>
          <w:szCs w:val="32"/>
          <w:lang w:eastAsia="zh-CN"/>
        </w:rPr>
        <w:t>一是</w:t>
      </w:r>
      <w:r>
        <w:rPr>
          <w:rFonts w:ascii="仿宋_GB2312" w:eastAsia="仿宋_GB2312"/>
          <w:b w:val="0"/>
          <w:sz w:val="32"/>
          <w:szCs w:val="32"/>
        </w:rPr>
        <w:t>单位的在职人员增加及变动、南疆访</w:t>
      </w:r>
      <w:r>
        <w:rPr>
          <w:rFonts w:hint="eastAsia" w:ascii="仿宋_GB2312" w:eastAsia="仿宋_GB2312"/>
          <w:b w:val="0"/>
          <w:sz w:val="32"/>
          <w:szCs w:val="32"/>
          <w:lang w:eastAsia="zh-CN"/>
        </w:rPr>
        <w:t>惠</w:t>
      </w:r>
      <w:r>
        <w:rPr>
          <w:rFonts w:ascii="仿宋_GB2312" w:eastAsia="仿宋_GB2312"/>
          <w:b w:val="0"/>
          <w:sz w:val="32"/>
          <w:szCs w:val="32"/>
        </w:rPr>
        <w:t>聚工作人员补贴，</w:t>
      </w:r>
      <w:r>
        <w:rPr>
          <w:rFonts w:hint="eastAsia" w:ascii="仿宋_GB2312" w:eastAsia="仿宋_GB2312"/>
          <w:b w:val="0"/>
          <w:sz w:val="32"/>
          <w:szCs w:val="32"/>
          <w:lang w:eastAsia="zh-CN"/>
        </w:rPr>
        <w:t>二是</w:t>
      </w:r>
      <w:r>
        <w:rPr>
          <w:rFonts w:ascii="仿宋_GB2312" w:eastAsia="仿宋_GB2312"/>
          <w:b w:val="0"/>
          <w:sz w:val="32"/>
          <w:szCs w:val="32"/>
        </w:rPr>
        <w:t>用于开展科研项目，主要针对“三区”人才项目、林草局项目、人社厅项目等。</w:t>
      </w:r>
    </w:p>
    <w:p w14:paraId="644AB81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二、收入决算情况说明</w:t>
      </w:r>
    </w:p>
    <w:p w14:paraId="7DB117C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本年收入2,574.90万元，</w:t>
      </w:r>
      <w:r>
        <w:rPr>
          <w:rFonts w:ascii="仿宋_GB2312" w:eastAsia="仿宋_GB2312"/>
          <w:b w:val="0"/>
          <w:sz w:val="32"/>
          <w:szCs w:val="32"/>
        </w:rPr>
        <w:t>其中：财政拨款收入1,850.64万元,占71.87%；上级补助收入0.00万元,占0.00%；事业收入189.61万元，占7.36%；经营收入0.00万元,占0.00%；附属单位上缴收入0.00万元，占0.00%；其他收入534.65万元，占20.76%。</w:t>
      </w:r>
    </w:p>
    <w:p w14:paraId="5ECEAC6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sz w:val="32"/>
          <w:szCs w:val="32"/>
        </w:rPr>
      </w:pPr>
      <w:r>
        <w:rPr>
          <w:rFonts w:ascii="黑体" w:eastAsia="黑体"/>
          <w:b/>
          <w:bCs/>
          <w:sz w:val="32"/>
          <w:szCs w:val="32"/>
        </w:rPr>
        <w:t>三、支出决算情况说明</w:t>
      </w:r>
    </w:p>
    <w:p w14:paraId="12BD166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本年支出2,438.43万元，</w:t>
      </w:r>
      <w:r>
        <w:rPr>
          <w:rFonts w:ascii="仿宋_GB2312" w:eastAsia="仿宋_GB2312"/>
          <w:b w:val="0"/>
          <w:sz w:val="32"/>
          <w:szCs w:val="32"/>
        </w:rPr>
        <w:t>其中：基本支出1,579.03万元，占64.76%；项目支出859.39万元，占35.24%；上缴上级支出0.00万元，占0.00%；经营支出0.00万元，占0.00%；对附属单位补助支出0.00万元，占0.00%。</w:t>
      </w:r>
    </w:p>
    <w:p w14:paraId="706C2EB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bCs w:val="0"/>
          <w:sz w:val="32"/>
          <w:szCs w:val="32"/>
        </w:rPr>
      </w:pPr>
      <w:r>
        <w:rPr>
          <w:rFonts w:ascii="黑体" w:eastAsia="黑体"/>
          <w:b w:val="0"/>
          <w:bCs w:val="0"/>
          <w:sz w:val="32"/>
          <w:szCs w:val="32"/>
        </w:rPr>
        <w:t>四、财政拨款收入支出决算总体情况说明</w:t>
      </w:r>
    </w:p>
    <w:p w14:paraId="36C0AA1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2024年度财政拨款收入总计1,850.64万元，</w:t>
      </w:r>
      <w:r>
        <w:rPr>
          <w:rFonts w:ascii="仿宋_GB2312" w:eastAsia="仿宋_GB2312"/>
          <w:b w:val="0"/>
          <w:sz w:val="32"/>
          <w:szCs w:val="32"/>
        </w:rPr>
        <w:t>其中：年初财政拨款结转和结余0.00万元，本年财政拨款收入1,850.64万元。</w:t>
      </w:r>
      <w:r>
        <w:rPr>
          <w:rFonts w:ascii="仿宋_GB2312" w:eastAsia="仿宋_GB2312"/>
          <w:b/>
          <w:bCs/>
          <w:sz w:val="32"/>
          <w:szCs w:val="32"/>
        </w:rPr>
        <w:t>财政拨款支出总计1,850.64万元，</w:t>
      </w:r>
      <w:r>
        <w:rPr>
          <w:rFonts w:ascii="仿宋_GB2312" w:eastAsia="仿宋_GB2312"/>
          <w:b w:val="0"/>
          <w:sz w:val="32"/>
          <w:szCs w:val="32"/>
        </w:rPr>
        <w:t>其中：年末财政拨款结转和结余0.00万元，本年财政拨款支出1,850.64万元。</w:t>
      </w:r>
    </w:p>
    <w:p w14:paraId="68F081A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增加141.96万元，增长8.31%，主要原因是：在职人员职级变动及政策性增资及财政项目拨款增加。</w:t>
      </w:r>
      <w:r>
        <w:rPr>
          <w:rFonts w:ascii="仿宋_GB2312" w:eastAsia="仿宋_GB2312"/>
          <w:b/>
          <w:bCs/>
          <w:sz w:val="32"/>
          <w:szCs w:val="32"/>
        </w:rPr>
        <w:t>与年初预算相比，</w:t>
      </w:r>
      <w:r>
        <w:rPr>
          <w:rFonts w:ascii="仿宋_GB2312" w:eastAsia="仿宋_GB2312"/>
          <w:b w:val="0"/>
          <w:sz w:val="32"/>
          <w:szCs w:val="32"/>
        </w:rPr>
        <w:t>年初预算数1,566.36万元，决算数1,850.64万元，预决算差异率18.15%，主要原因是：</w:t>
      </w:r>
      <w:r>
        <w:rPr>
          <w:rFonts w:hint="eastAsia" w:ascii="仿宋_GB2312" w:eastAsia="仿宋_GB2312"/>
          <w:b w:val="0"/>
          <w:sz w:val="32"/>
          <w:szCs w:val="32"/>
          <w:lang w:eastAsia="zh-CN"/>
        </w:rPr>
        <w:t>一是</w:t>
      </w:r>
      <w:r>
        <w:rPr>
          <w:rFonts w:ascii="仿宋_GB2312" w:eastAsia="仿宋_GB2312"/>
          <w:b w:val="0"/>
          <w:sz w:val="32"/>
          <w:szCs w:val="32"/>
        </w:rPr>
        <w:t>政策性追加了在职人员职级变动</w:t>
      </w:r>
      <w:r>
        <w:rPr>
          <w:rFonts w:hint="eastAsia" w:ascii="仿宋_GB2312" w:eastAsia="仿宋_GB2312"/>
          <w:b w:val="0"/>
          <w:sz w:val="32"/>
          <w:szCs w:val="32"/>
          <w:lang w:eastAsia="zh-CN"/>
        </w:rPr>
        <w:t>、</w:t>
      </w:r>
      <w:r>
        <w:rPr>
          <w:rFonts w:ascii="仿宋_GB2312" w:eastAsia="仿宋_GB2312"/>
          <w:b w:val="0"/>
          <w:sz w:val="32"/>
          <w:szCs w:val="32"/>
        </w:rPr>
        <w:t>职业年金</w:t>
      </w:r>
      <w:r>
        <w:rPr>
          <w:rFonts w:hint="eastAsia" w:ascii="仿宋_GB2312" w:eastAsia="仿宋_GB2312"/>
          <w:b w:val="0"/>
          <w:sz w:val="32"/>
          <w:szCs w:val="32"/>
          <w:lang w:eastAsia="zh-CN"/>
        </w:rPr>
        <w:t>、</w:t>
      </w:r>
      <w:r>
        <w:rPr>
          <w:rFonts w:ascii="仿宋_GB2312" w:eastAsia="仿宋_GB2312"/>
          <w:b w:val="0"/>
          <w:sz w:val="32"/>
          <w:szCs w:val="32"/>
        </w:rPr>
        <w:t>抚恤金</w:t>
      </w:r>
      <w:r>
        <w:rPr>
          <w:rFonts w:hint="eastAsia" w:ascii="仿宋_GB2312" w:eastAsia="仿宋_GB2312"/>
          <w:b w:val="0"/>
          <w:sz w:val="32"/>
          <w:szCs w:val="32"/>
          <w:lang w:eastAsia="zh-CN"/>
        </w:rPr>
        <w:t>经费，二是政策导向增</w:t>
      </w:r>
      <w:r>
        <w:rPr>
          <w:rFonts w:ascii="仿宋_GB2312" w:eastAsia="仿宋_GB2312"/>
          <w:b w:val="0"/>
          <w:sz w:val="32"/>
          <w:szCs w:val="32"/>
        </w:rPr>
        <w:t>加财政拨款项目经费。</w:t>
      </w:r>
    </w:p>
    <w:p w14:paraId="2388901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sz w:val="32"/>
          <w:szCs w:val="32"/>
        </w:rPr>
      </w:pPr>
      <w:r>
        <w:rPr>
          <w:rFonts w:ascii="黑体" w:eastAsia="黑体"/>
          <w:b/>
          <w:bCs/>
          <w:sz w:val="32"/>
          <w:szCs w:val="32"/>
        </w:rPr>
        <w:t>五、一般公共预算财政拨款支出决算情况说明</w:t>
      </w:r>
    </w:p>
    <w:p w14:paraId="14A1786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14:paraId="765D85F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2024年度一般公共预算财政拨款支出1,850.64万元，</w:t>
      </w:r>
      <w:r>
        <w:rPr>
          <w:rFonts w:ascii="仿宋_GB2312" w:eastAsia="仿宋_GB2312"/>
          <w:b w:val="0"/>
          <w:sz w:val="32"/>
          <w:szCs w:val="32"/>
        </w:rPr>
        <w:t>占本年支出合计的75.89%。</w:t>
      </w:r>
      <w:r>
        <w:rPr>
          <w:rFonts w:ascii="仿宋_GB2312" w:eastAsia="仿宋_GB2312"/>
          <w:b/>
          <w:bCs/>
          <w:sz w:val="32"/>
          <w:szCs w:val="32"/>
        </w:rPr>
        <w:t>与上年相比，</w:t>
      </w:r>
      <w:r>
        <w:rPr>
          <w:rFonts w:ascii="仿宋_GB2312" w:eastAsia="仿宋_GB2312"/>
          <w:b w:val="0"/>
          <w:sz w:val="32"/>
          <w:szCs w:val="32"/>
        </w:rPr>
        <w:t>增加141.96万元，增长8.31%，主要原因是：本单位系科研单位，科研经费会随着国家新出台的政策导向，不定期取得项目经费。</w:t>
      </w:r>
      <w:r>
        <w:rPr>
          <w:rFonts w:ascii="仿宋_GB2312" w:eastAsia="仿宋_GB2312"/>
          <w:b/>
          <w:bCs/>
          <w:sz w:val="32"/>
          <w:szCs w:val="32"/>
        </w:rPr>
        <w:t>与年初预算相比，</w:t>
      </w:r>
      <w:r>
        <w:rPr>
          <w:rFonts w:ascii="仿宋_GB2312" w:eastAsia="仿宋_GB2312"/>
          <w:b w:val="0"/>
          <w:sz w:val="32"/>
          <w:szCs w:val="32"/>
        </w:rPr>
        <w:t>年初预算数1,566.36万元，决算数1,850.64万元，预决算差异率18.15%，主要原因是：</w:t>
      </w:r>
      <w:r>
        <w:rPr>
          <w:rFonts w:hint="eastAsia" w:ascii="仿宋_GB2312" w:eastAsia="仿宋_GB2312"/>
          <w:b w:val="0"/>
          <w:sz w:val="32"/>
          <w:szCs w:val="32"/>
          <w:lang w:eastAsia="zh-CN"/>
        </w:rPr>
        <w:t>一是</w:t>
      </w:r>
      <w:r>
        <w:rPr>
          <w:rFonts w:ascii="仿宋_GB2312" w:eastAsia="仿宋_GB2312"/>
          <w:b w:val="0"/>
          <w:sz w:val="32"/>
          <w:szCs w:val="32"/>
        </w:rPr>
        <w:t>本年核定的职工人员有新增及变动所以人员经费较上年增加，</w:t>
      </w:r>
      <w:r>
        <w:rPr>
          <w:rFonts w:hint="eastAsia" w:ascii="仿宋_GB2312" w:eastAsia="仿宋_GB2312"/>
          <w:b w:val="0"/>
          <w:sz w:val="32"/>
          <w:szCs w:val="32"/>
          <w:lang w:eastAsia="zh-CN"/>
        </w:rPr>
        <w:t>二是</w:t>
      </w:r>
      <w:r>
        <w:rPr>
          <w:rFonts w:ascii="仿宋_GB2312" w:eastAsia="仿宋_GB2312"/>
          <w:b w:val="0"/>
          <w:sz w:val="32"/>
          <w:szCs w:val="32"/>
        </w:rPr>
        <w:t>因政策导向项目经费较上年增加。</w:t>
      </w:r>
    </w:p>
    <w:p w14:paraId="4CD793E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14:paraId="551B827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科学技术支出（类）1,582.64万元，占85.52%。</w:t>
      </w:r>
    </w:p>
    <w:p w14:paraId="1DEB223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社会保障和就业支出（类）30.00万元，占1.62%。</w:t>
      </w:r>
    </w:p>
    <w:p w14:paraId="171A998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农林水支出（类）238.00万元，占12.86%。</w:t>
      </w:r>
    </w:p>
    <w:p w14:paraId="759DE8F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14:paraId="2C7E101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b w:val="0"/>
          <w:sz w:val="32"/>
          <w:szCs w:val="32"/>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科学技术支出（类）应用研究（款）机构运行（项）：支出决算数为1,579.03万元，比上年决算增加95.81万元，增长6.46%，主要原因是：单位职工工资增长和按工资比例增长的社保、医保、工会经费、福利费、公用经费等的增加。</w:t>
      </w:r>
    </w:p>
    <w:p w14:paraId="35DE86D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科学技术支出（类）科技条件与服务（款）其他科技条件与服务支出（项）：支出决算数为3.60万元，比上年决算减少10.88万元，下降75.14%，主要原因是：2024年度</w:t>
      </w:r>
      <w:r>
        <w:rPr>
          <w:rFonts w:hint="eastAsia" w:ascii="仿宋_GB2312" w:eastAsia="仿宋_GB2312"/>
          <w:b w:val="0"/>
          <w:sz w:val="32"/>
          <w:szCs w:val="32"/>
          <w:lang w:eastAsia="zh-CN"/>
        </w:rPr>
        <w:t>此</w:t>
      </w:r>
      <w:r>
        <w:rPr>
          <w:rFonts w:ascii="仿宋_GB2312" w:eastAsia="仿宋_GB2312"/>
          <w:b w:val="0"/>
          <w:sz w:val="32"/>
          <w:szCs w:val="32"/>
        </w:rPr>
        <w:t>项目经费安排比上年减少。</w:t>
      </w:r>
    </w:p>
    <w:p w14:paraId="64F9C07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科学技术支出（类）其他科学技术支出（款）其他科学技术支出（项）：支出决算数为0.00万元，比上年决算减少100.00万元，下降100.00%，主要原因是：</w:t>
      </w:r>
      <w:r>
        <w:rPr>
          <w:rFonts w:hint="eastAsia" w:ascii="仿宋_GB2312" w:eastAsia="仿宋_GB2312"/>
          <w:b w:val="0"/>
          <w:sz w:val="32"/>
          <w:szCs w:val="32"/>
          <w:lang w:val="en-US" w:eastAsia="zh-CN"/>
        </w:rPr>
        <w:t>2024年度</w:t>
      </w:r>
      <w:r>
        <w:rPr>
          <w:rFonts w:ascii="仿宋_GB2312" w:eastAsia="仿宋_GB2312"/>
          <w:b w:val="0"/>
          <w:sz w:val="32"/>
          <w:szCs w:val="32"/>
        </w:rPr>
        <w:t>因功能科目细化将天山英才”及产业技术创新团队支持计划项目细化至农林水支出（类）农业农村（款）科技转化与推广服务（项）。</w:t>
      </w:r>
    </w:p>
    <w:p w14:paraId="4649819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人力资源和社会保障管理事务（款）其他人力资源和社会保障管理事务支出（项）：支出决算数为30.00万元，比上年决算增加30.00万元，增长0.00%，主要原因是：2024年度新增天池英才引进计划项目资金。</w:t>
      </w:r>
    </w:p>
    <w:p w14:paraId="65BAF63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节能环保支出（类）自然生态保护（款）草原生态修复治理（项）：支出决算数为0.00万元，比上年决算减少9.65万元，下降100.00%，主要原因是：2024年度无草原生态修复治理经费安排。</w:t>
      </w:r>
    </w:p>
    <w:p w14:paraId="562A5B8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农林水支出（类）农业农村（款）科技转化与推广服务（项）：支出决算数为130.00万元，比上年决算增加130.00万元，增长0.00%，主要原因是：</w:t>
      </w:r>
      <w:r>
        <w:rPr>
          <w:rFonts w:hint="eastAsia" w:ascii="仿宋_GB2312" w:eastAsia="仿宋_GB2312"/>
          <w:b w:val="0"/>
          <w:sz w:val="32"/>
          <w:szCs w:val="32"/>
          <w:lang w:val="en-US" w:eastAsia="zh-CN"/>
        </w:rPr>
        <w:t>2024</w:t>
      </w:r>
      <w:r>
        <w:rPr>
          <w:rFonts w:ascii="仿宋_GB2312" w:eastAsia="仿宋_GB2312"/>
          <w:b w:val="0"/>
          <w:sz w:val="32"/>
          <w:szCs w:val="32"/>
        </w:rPr>
        <w:t>年度因功能科目细化将“天山英才”及“产业技术创新团队支持计划”项目资金细化至农林水支出（类）农业农村（款）科技转化与推广服务（项）。</w:t>
      </w:r>
    </w:p>
    <w:p w14:paraId="571F2F6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7</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农林水支出（类）农业农村（款）农业生产发展（项）：支出决算数为48.00万元，比上年决算增加28.00万元，增长140.00%，主要原因是：2024年度新疆饲草产业技术体系项目</w:t>
      </w:r>
      <w:r>
        <w:rPr>
          <w:rFonts w:hint="eastAsia" w:ascii="仿宋_GB2312" w:eastAsia="仿宋_GB2312"/>
          <w:b w:val="0"/>
          <w:sz w:val="32"/>
          <w:szCs w:val="32"/>
          <w:lang w:eastAsia="zh-CN"/>
        </w:rPr>
        <w:t>经费较上年增加，以</w:t>
      </w:r>
      <w:r>
        <w:rPr>
          <w:rFonts w:ascii="仿宋_GB2312" w:eastAsia="仿宋_GB2312"/>
          <w:b w:val="0"/>
          <w:sz w:val="32"/>
          <w:szCs w:val="32"/>
        </w:rPr>
        <w:t>及</w:t>
      </w:r>
      <w:r>
        <w:rPr>
          <w:rFonts w:hint="eastAsia" w:ascii="仿宋_GB2312" w:eastAsia="仿宋_GB2312"/>
          <w:b w:val="0"/>
          <w:sz w:val="32"/>
          <w:szCs w:val="32"/>
          <w:lang w:eastAsia="zh-CN"/>
        </w:rPr>
        <w:t>新增</w:t>
      </w:r>
      <w:r>
        <w:rPr>
          <w:rFonts w:ascii="仿宋_GB2312" w:eastAsia="仿宋_GB2312"/>
          <w:b w:val="0"/>
          <w:sz w:val="32"/>
          <w:szCs w:val="32"/>
        </w:rPr>
        <w:t>奶业生产发展项目</w:t>
      </w:r>
      <w:r>
        <w:rPr>
          <w:rFonts w:hint="eastAsia" w:ascii="仿宋_GB2312" w:eastAsia="仿宋_GB2312"/>
          <w:b w:val="0"/>
          <w:sz w:val="32"/>
          <w:szCs w:val="32"/>
          <w:lang w:eastAsia="zh-CN"/>
        </w:rPr>
        <w:t>经费</w:t>
      </w:r>
      <w:r>
        <w:rPr>
          <w:rFonts w:ascii="仿宋_GB2312" w:eastAsia="仿宋_GB2312"/>
          <w:b w:val="0"/>
          <w:sz w:val="32"/>
          <w:szCs w:val="32"/>
        </w:rPr>
        <w:t>。</w:t>
      </w:r>
    </w:p>
    <w:p w14:paraId="76C76EB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8</w:t>
      </w:r>
      <w:r>
        <w:rPr>
          <w:rFonts w:hint="eastAsia" w:ascii="仿宋_GB2312" w:eastAsia="仿宋_GB2312"/>
          <w:b w:val="0"/>
          <w:sz w:val="32"/>
          <w:szCs w:val="32"/>
          <w:lang w:val="en-US" w:eastAsia="zh-CN"/>
        </w:rPr>
        <w:t>.</w:t>
      </w:r>
      <w:r>
        <w:rPr>
          <w:rFonts w:ascii="仿宋_GB2312" w:eastAsia="仿宋_GB2312"/>
          <w:b w:val="0"/>
          <w:sz w:val="32"/>
          <w:szCs w:val="32"/>
        </w:rPr>
        <w:t>农林水支出（类）林业和草原（款）技术推广与转化（项）：支出决算数为60.00万元，比上年决算增加60.00万元，增长0.00%，主要原因是：</w:t>
      </w:r>
      <w:r>
        <w:rPr>
          <w:rFonts w:hint="eastAsia" w:ascii="仿宋_GB2312" w:eastAsia="仿宋_GB2312"/>
          <w:b w:val="0"/>
          <w:sz w:val="32"/>
          <w:szCs w:val="32"/>
          <w:lang w:val="en-US" w:eastAsia="zh-CN"/>
        </w:rPr>
        <w:t>2024</w:t>
      </w:r>
      <w:r>
        <w:rPr>
          <w:rFonts w:ascii="仿宋_GB2312" w:eastAsia="仿宋_GB2312"/>
          <w:b w:val="0"/>
          <w:sz w:val="32"/>
          <w:szCs w:val="32"/>
        </w:rPr>
        <w:t>年度因功能科目细化将退化草原评价与修复治理模式示范与推广项目资金细化至农林水支出（类）林业和草原（款）技术推广与转化（项）。</w:t>
      </w:r>
    </w:p>
    <w:p w14:paraId="4FEF30F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9</w:t>
      </w:r>
      <w:r>
        <w:rPr>
          <w:rFonts w:hint="eastAsia" w:ascii="仿宋_GB2312" w:eastAsia="仿宋_GB2312"/>
          <w:b w:val="0"/>
          <w:sz w:val="32"/>
          <w:szCs w:val="32"/>
          <w:lang w:val="en-US" w:eastAsia="zh-CN"/>
        </w:rPr>
        <w:t>.</w:t>
      </w:r>
      <w:r>
        <w:rPr>
          <w:rFonts w:ascii="仿宋_GB2312" w:eastAsia="仿宋_GB2312"/>
          <w:b w:val="0"/>
          <w:sz w:val="32"/>
          <w:szCs w:val="32"/>
        </w:rPr>
        <w:t>农林水支出（类）林业和草原（款）其他林业和草原支出（项）：支出决算数为0.00万元，比上年决算减少81.33万元，下降100.00%，主要原因是2024年度因功能科目细化无其他林业和草原支出（项）经费安排。</w:t>
      </w:r>
    </w:p>
    <w:p w14:paraId="7CE1D37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5858BC6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2024年度一般公共预算财政拨款基本支出1,579.03万元，其中：</w:t>
      </w:r>
      <w:r>
        <w:rPr>
          <w:rFonts w:ascii="仿宋_GB2312" w:eastAsia="仿宋_GB2312"/>
          <w:b/>
          <w:bCs/>
          <w:sz w:val="32"/>
          <w:szCs w:val="32"/>
        </w:rPr>
        <w:t>人员经费1,489.38万元，</w:t>
      </w:r>
      <w:r>
        <w:rPr>
          <w:rFonts w:ascii="仿宋_GB2312" w:eastAsia="仿宋_GB2312"/>
          <w:b w:val="0"/>
          <w:sz w:val="32"/>
          <w:szCs w:val="32"/>
        </w:rPr>
        <w:t>包括：基本工资、津贴补贴、奖金、伙食补助费、绩效工资、机关事业单位基本养老保险缴费、职业年金缴费、职工基本医疗保险缴费、公务员医疗补助缴费、其他社会保障缴费、住房公积金、退休费、抚恤金和其他对个人和家庭的补助。</w:t>
      </w:r>
    </w:p>
    <w:p w14:paraId="0EFB3EA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公用经费89.66万元，</w:t>
      </w:r>
      <w:r>
        <w:rPr>
          <w:rFonts w:ascii="仿宋_GB2312" w:eastAsia="仿宋_GB2312"/>
          <w:b w:val="0"/>
          <w:sz w:val="32"/>
          <w:szCs w:val="32"/>
        </w:rPr>
        <w:t>包括：办公费、水费、电费、邮电费、取暖费、物业管理费、差旅费、专用燃料费、工会经费、福利费、其他交通费用和其他商品和服务支出。</w:t>
      </w:r>
    </w:p>
    <w:p w14:paraId="63BB77A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52DCA0C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AE4DD4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3D46B3D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491C88B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0950B08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2024年度财政拨款“三公”经费支出0.00万元，</w:t>
      </w:r>
      <w:r>
        <w:rPr>
          <w:rFonts w:ascii="仿宋_GB2312" w:eastAsia="仿宋_GB2312"/>
          <w:b w:val="0"/>
          <w:sz w:val="32"/>
          <w:szCs w:val="32"/>
        </w:rPr>
        <w:t>与上年相比无变化，主要原因是：我单位2023年度与2024年度均无财政拨款“三公”经费。其中：因公出国（境）费支出0.00万元,占0.00%，与上年相比无变化，主要原因是：我单位2023年度与2024年度均无因公出国（境）费；公务用车购置及运行维护费支出0.00万元，占0.00%，与上年相比无变化，主要原因是：我单位2023年度与2024年度均无公务用车购置及运行维护费；公务接待费支出0.00万元，占0.00%，与上年相比无变化，主要原因是：我单位2023年度与2024年度均无公务接待费。</w:t>
      </w:r>
    </w:p>
    <w:p w14:paraId="3F1FD0B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14:paraId="1C4872C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因公出国（境）费支出0.00万元，开支内容包括本单位无因公出国（境）费。单位全年安排的因公出国（境）团组0个，因公出国（境）0人次。</w:t>
      </w:r>
    </w:p>
    <w:p w14:paraId="15C78ED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本单位只有1辆车为业务用车正常运行，其余3辆</w:t>
      </w:r>
      <w:r>
        <w:rPr>
          <w:rFonts w:hint="eastAsia" w:ascii="仿宋_GB2312" w:eastAsia="仿宋_GB2312"/>
          <w:b w:val="0"/>
          <w:sz w:val="32"/>
          <w:szCs w:val="32"/>
          <w:lang w:eastAsia="zh-CN"/>
        </w:rPr>
        <w:t>已</w:t>
      </w:r>
      <w:r>
        <w:rPr>
          <w:rFonts w:ascii="仿宋_GB2312" w:eastAsia="仿宋_GB2312"/>
          <w:b w:val="0"/>
          <w:sz w:val="32"/>
          <w:szCs w:val="32"/>
        </w:rPr>
        <w:t>损毁</w:t>
      </w:r>
      <w:r>
        <w:rPr>
          <w:rFonts w:hint="eastAsia" w:ascii="仿宋_GB2312" w:eastAsia="仿宋_GB2312"/>
          <w:b w:val="0"/>
          <w:sz w:val="32"/>
          <w:szCs w:val="32"/>
          <w:lang w:eastAsia="zh-CN"/>
        </w:rPr>
        <w:t>无法正常使用未产生</w:t>
      </w:r>
      <w:r>
        <w:rPr>
          <w:rFonts w:ascii="仿宋_GB2312" w:eastAsia="仿宋_GB2312"/>
          <w:b w:val="0"/>
          <w:sz w:val="32"/>
          <w:szCs w:val="32"/>
        </w:rPr>
        <w:t>公务用车运行维护费。</w:t>
      </w:r>
      <w:bookmarkStart w:id="0" w:name="_GoBack"/>
      <w:bookmarkEnd w:id="0"/>
    </w:p>
    <w:p w14:paraId="202A0CF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公务接待费0.00万元，开支内容包括本单无公务接待费。单位全年安排的国内公务接待0批次，0人次。</w:t>
      </w:r>
    </w:p>
    <w:p w14:paraId="297AFEA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无公务用车运行维护费；公务接待费全年预算数0.00万元，决算数0.00万元，预决算差异率0.00%，主要原因是：本单位无公务接待费。</w:t>
      </w:r>
    </w:p>
    <w:p w14:paraId="11F0BB6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十、其他重要事项的情况说明</w:t>
      </w:r>
    </w:p>
    <w:p w14:paraId="31ECD2B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14:paraId="5B9C0ED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2024年度新疆畜牧科学院草业研究所单位（事业单位）公用经费支出89.66万元，比上年减少5.41万元，下降5.69%，主要原因是：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年人员较上年有所变动，</w:t>
      </w:r>
      <w:r>
        <w:rPr>
          <w:rFonts w:ascii="仿宋_GB2312" w:eastAsia="仿宋_GB2312"/>
          <w:b w:val="0"/>
          <w:sz w:val="32"/>
          <w:szCs w:val="32"/>
        </w:rPr>
        <w:t>本单位为全额拨款事业单位，财政根据实际情况进行核定</w:t>
      </w:r>
      <w:r>
        <w:rPr>
          <w:rFonts w:hint="eastAsia" w:ascii="仿宋_GB2312" w:eastAsia="仿宋_GB2312"/>
          <w:b w:val="0"/>
          <w:sz w:val="32"/>
          <w:szCs w:val="32"/>
          <w:lang w:val="en-US" w:eastAsia="zh-CN"/>
        </w:rPr>
        <w:t>有所减少</w:t>
      </w:r>
      <w:r>
        <w:rPr>
          <w:rFonts w:ascii="仿宋_GB2312" w:eastAsia="仿宋_GB2312"/>
          <w:b w:val="0"/>
          <w:sz w:val="32"/>
          <w:szCs w:val="32"/>
        </w:rPr>
        <w:t>。</w:t>
      </w:r>
    </w:p>
    <w:p w14:paraId="1CC71CD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14:paraId="7CCBDAA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2024年度政府采购支出总额25.10万元，其中：政府采购货物支出2.89万元、政府采购工程支出0.00万元、政府采购服务支出22.21万元。</w:t>
      </w:r>
    </w:p>
    <w:p w14:paraId="18CD82F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授予中小企业合同金额25.10万元，占政府采购支出总额的100.00%，其中：授予小微企业合同金额25.10万元，占政府采购支出总额的100.00%。</w:t>
      </w:r>
    </w:p>
    <w:p w14:paraId="246E856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14:paraId="22C9CA7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1,545.80平方米，价值420.71万元。车辆4辆，价值68.09万元，其中：副部（省）级及以上领导用车0辆、主要负责人用车0辆、机要通信用车0辆、应急保障用车0辆、执法执勤用车0辆、特种专业技术用车0辆、离退休干部服务用车0辆、其他用车4辆，其他用车主要是：为我单位业务用车，用于科研外出、单位间文件传送;单价100万元（含）以上设备（不含车辆）3台。</w:t>
      </w:r>
    </w:p>
    <w:p w14:paraId="78D4BBA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sz w:val="32"/>
          <w:szCs w:val="32"/>
        </w:rPr>
      </w:pPr>
      <w:r>
        <w:rPr>
          <w:rFonts w:ascii="黑体" w:eastAsia="黑体"/>
          <w:b/>
          <w:bCs/>
          <w:sz w:val="32"/>
          <w:szCs w:val="32"/>
        </w:rPr>
        <w:t>十一、预算绩效的情况说明</w:t>
      </w:r>
    </w:p>
    <w:p w14:paraId="1690F4C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536.00万元，全年执行数536.00万元。预算绩效管理取得的成效：一是为我国和我区从事草业科学、科研和生产单位提供了大量有价值的科技情报信息；二是对促进我国和我区畜牧业的科技进步和生产发展起到了积极作用。发现的问题及原因：一是要改进管理方式方法，提高资金使用效益；二是有的绩效评价指标设置不科学，需要改进。下一步改进措施：一是根据预测可能出现的各种情况，对下一年度绩效目标做出全面安排，绩效指标如确需调整的，及时向相关主管部门申报，对相关绩效指标进行调整；二是对合作方的支付能力进行深入的了解，对没有支付能力的单位避免合作。具体附项目支出绩效自评表。</w:t>
      </w:r>
    </w:p>
    <w:p w14:paraId="40879A5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十二、其他需说明的事项</w:t>
      </w:r>
    </w:p>
    <w:p w14:paraId="5D52B1E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14:paraId="3F01B6D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14:paraId="078AF35C">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55F7EF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14:paraId="298E758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103CA01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39AF51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6DE1812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7B47E8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4CB4E48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303515C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4A9EF3D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EAEC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2B61D71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18244DD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0DBC0E0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1C31F7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C86FC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5E539FFC">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241057C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14:paraId="368A62D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22CB6A3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714E247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241A5CA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7265E0B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3B22CAB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BE657B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5DC410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DF1E4C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p w14:paraId="2551E46B"/>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352E67"/>
    <w:rsid w:val="1FA10253"/>
    <w:rsid w:val="23352E67"/>
    <w:rsid w:val="2B05199B"/>
    <w:rsid w:val="34592D57"/>
    <w:rsid w:val="357E0CC8"/>
    <w:rsid w:val="50BC224C"/>
    <w:rsid w:val="51845685"/>
    <w:rsid w:val="591E5852"/>
    <w:rsid w:val="5D261179"/>
    <w:rsid w:val="6C881887"/>
    <w:rsid w:val="6CDF1345"/>
    <w:rsid w:val="FBFF2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3463</Words>
  <Characters>4004</Characters>
  <Lines>0</Lines>
  <Paragraphs>0</Paragraphs>
  <TotalTime>3</TotalTime>
  <ScaleCrop>false</ScaleCrop>
  <LinksUpToDate>false</LinksUpToDate>
  <CharactersWithSpaces>4010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2025-08-21T16:42:00Z</dcterms:created>
  <dc:creator>Administrator</dc:creator>
  <cp:lastModifiedBy>WPS_1537848375</cp:lastModifiedBy>
  <dcterms:modified xsi:type="dcterms:W3CDTF">2025-08-27T03:41:18Z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D0E80FA911854857B13AF18B7AAB66C1</vt:lpwstr>
  </property>
  <property fmtid="{D5CDD505-2E9C-101B-9397-08002B2CF9AE}" pid="4" name="KSOTemplateDocerSaveRecord">
    <vt:lpwstr>eyJoZGlkIjoiOTU4OWU5YzI4OWU3ZTFkMTNkY2ZlZGViNTEyNmY4MmYiLCJ1c2VySWQiOiI0MDk3MzQ3MDYifQ==</vt:lpwstr>
  </property>
</Properties>
</file>