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595" w:rsidRDefault="00FA3595">
      <w:pPr>
        <w:spacing w:after="0" w:line="560" w:lineRule="exact"/>
        <w:rPr>
          <w:rFonts w:ascii="宋体" w:eastAsia="宋体"/>
          <w:sz w:val="32"/>
          <w:szCs w:val="32"/>
        </w:rPr>
      </w:pPr>
    </w:p>
    <w:p w:rsidR="00FA3595" w:rsidRDefault="00FA3595">
      <w:pPr>
        <w:spacing w:after="0" w:line="560" w:lineRule="exact"/>
        <w:rPr>
          <w:rFonts w:ascii="宋体" w:eastAsia="宋体"/>
          <w:sz w:val="44"/>
          <w:szCs w:val="44"/>
        </w:rPr>
      </w:pPr>
    </w:p>
    <w:p w:rsidR="00FA3595" w:rsidRDefault="00FA3595">
      <w:pPr>
        <w:spacing w:after="0" w:line="560" w:lineRule="exact"/>
        <w:rPr>
          <w:rFonts w:ascii="宋体" w:eastAsia="宋体"/>
          <w:sz w:val="44"/>
          <w:szCs w:val="44"/>
        </w:rPr>
      </w:pPr>
    </w:p>
    <w:p w:rsidR="00FA3595" w:rsidRDefault="00FA3595">
      <w:pPr>
        <w:spacing w:after="0" w:line="560" w:lineRule="exact"/>
        <w:rPr>
          <w:rFonts w:ascii="宋体" w:eastAsia="宋体"/>
          <w:sz w:val="44"/>
          <w:szCs w:val="44"/>
        </w:rPr>
      </w:pPr>
    </w:p>
    <w:p w:rsidR="00FA3595" w:rsidRDefault="009F0B7E">
      <w:pPr>
        <w:spacing w:after="0" w:line="560" w:lineRule="exact"/>
        <w:jc w:val="center"/>
        <w:outlineLvl w:val="0"/>
        <w:rPr>
          <w:rFonts w:ascii="宋体" w:eastAsia="黑体"/>
          <w:sz w:val="44"/>
          <w:szCs w:val="44"/>
          <w:lang w:eastAsia="zh-CN"/>
        </w:rPr>
      </w:pPr>
      <w:r>
        <w:rPr>
          <w:rFonts w:ascii="宋体" w:eastAsia="黑体"/>
          <w:sz w:val="44"/>
          <w:szCs w:val="44"/>
          <w:lang w:eastAsia="zh-CN"/>
        </w:rPr>
        <w:t>新疆畜牧科学院</w:t>
      </w:r>
    </w:p>
    <w:p w:rsidR="00FA3595" w:rsidRDefault="009F0B7E">
      <w:pPr>
        <w:spacing w:after="0" w:line="560" w:lineRule="exact"/>
        <w:jc w:val="center"/>
        <w:outlineLvl w:val="0"/>
        <w:rPr>
          <w:rFonts w:ascii="黑体" w:eastAsia="黑体"/>
          <w:sz w:val="44"/>
          <w:szCs w:val="44"/>
          <w:lang w:eastAsia="zh-CN"/>
        </w:rPr>
      </w:pPr>
      <w:r>
        <w:rPr>
          <w:rFonts w:ascii="黑体" w:eastAsia="黑体"/>
          <w:sz w:val="44"/>
          <w:szCs w:val="44"/>
          <w:lang w:eastAsia="zh-CN"/>
        </w:rPr>
        <w:t>2024年度部门决算公开说明</w:t>
      </w:r>
    </w:p>
    <w:p w:rsidR="00FA3595" w:rsidRDefault="009F0B7E">
      <w:pPr>
        <w:spacing w:line="560" w:lineRule="exact"/>
        <w:rPr>
          <w:lang w:eastAsia="zh-CN"/>
        </w:rPr>
      </w:pPr>
      <w:r>
        <w:rPr>
          <w:sz w:val="0"/>
          <w:szCs w:val="0"/>
          <w:lang w:eastAsia="zh-CN"/>
        </w:rPr>
        <w:br w:type="page"/>
      </w:r>
    </w:p>
    <w:p w:rsidR="00FA3595" w:rsidRDefault="009F0B7E">
      <w:pPr>
        <w:spacing w:after="0" w:line="560" w:lineRule="exact"/>
        <w:jc w:val="center"/>
        <w:rPr>
          <w:rFonts w:ascii="黑体" w:eastAsia="黑体"/>
          <w:sz w:val="32"/>
          <w:szCs w:val="32"/>
          <w:lang w:eastAsia="zh-CN"/>
        </w:rPr>
      </w:pPr>
      <w:r>
        <w:rPr>
          <w:rFonts w:ascii="黑体" w:eastAsia="黑体"/>
          <w:b/>
          <w:sz w:val="32"/>
          <w:szCs w:val="32"/>
          <w:lang w:eastAsia="zh-CN"/>
        </w:rPr>
        <w:lastRenderedPageBreak/>
        <w:t>目</w:t>
      </w:r>
      <w:r w:rsidR="000A7EA5">
        <w:rPr>
          <w:rFonts w:ascii="黑体" w:eastAsia="黑体" w:hint="eastAsia"/>
          <w:b/>
          <w:sz w:val="32"/>
          <w:szCs w:val="32"/>
          <w:lang w:eastAsia="zh-CN"/>
        </w:rPr>
        <w:t xml:space="preserve">  </w:t>
      </w:r>
      <w:r>
        <w:rPr>
          <w:rFonts w:ascii="黑体" w:eastAsia="黑体"/>
          <w:b/>
          <w:sz w:val="32"/>
          <w:szCs w:val="32"/>
          <w:lang w:eastAsia="zh-CN"/>
        </w:rPr>
        <w:t>录</w:t>
      </w:r>
    </w:p>
    <w:p w:rsidR="00FA3595" w:rsidRDefault="009F0B7E">
      <w:pPr>
        <w:spacing w:after="0" w:line="560" w:lineRule="exact"/>
        <w:rPr>
          <w:rFonts w:ascii="仿宋_GB2312" w:eastAsia="仿宋_GB2312"/>
          <w:sz w:val="32"/>
          <w:szCs w:val="32"/>
          <w:lang w:eastAsia="zh-CN"/>
        </w:rPr>
      </w:pPr>
      <w:r>
        <w:rPr>
          <w:rFonts w:ascii="仿宋_GB2312" w:eastAsia="仿宋_GB2312"/>
          <w:b/>
          <w:sz w:val="32"/>
          <w:szCs w:val="32"/>
          <w:lang w:eastAsia="zh-CN"/>
        </w:rPr>
        <w:t>第一部分</w:t>
      </w:r>
      <w:r w:rsidR="000A7EA5">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一、主要职能</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二、机构设置及人员情况</w:t>
      </w:r>
    </w:p>
    <w:p w:rsidR="00FA3595" w:rsidRDefault="009F0B7E">
      <w:pPr>
        <w:spacing w:after="0" w:line="560" w:lineRule="exact"/>
        <w:rPr>
          <w:rFonts w:ascii="仿宋_GB2312" w:eastAsia="仿宋_GB2312"/>
          <w:sz w:val="32"/>
          <w:szCs w:val="32"/>
          <w:lang w:eastAsia="zh-CN"/>
        </w:rPr>
      </w:pPr>
      <w:r>
        <w:rPr>
          <w:rFonts w:ascii="仿宋_GB2312" w:eastAsia="仿宋_GB2312"/>
          <w:b/>
          <w:sz w:val="32"/>
          <w:szCs w:val="32"/>
          <w:lang w:eastAsia="zh-CN"/>
        </w:rPr>
        <w:t>第二部分</w:t>
      </w:r>
      <w:r w:rsidR="000A7EA5">
        <w:rPr>
          <w:rFonts w:ascii="仿宋_GB2312" w:eastAsia="仿宋_GB2312" w:hint="eastAsia"/>
          <w:b/>
          <w:sz w:val="32"/>
          <w:szCs w:val="32"/>
          <w:lang w:eastAsia="zh-CN"/>
        </w:rPr>
        <w:t xml:space="preserve"> </w:t>
      </w:r>
      <w:r>
        <w:rPr>
          <w:rFonts w:ascii="仿宋_GB2312" w:eastAsia="仿宋_GB2312"/>
          <w:b/>
          <w:sz w:val="32"/>
          <w:szCs w:val="32"/>
          <w:lang w:eastAsia="zh-CN"/>
        </w:rPr>
        <w:t>部门决算情况说明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一、收入支出决算总体情况说明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二、收入决算情况说明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三、支出决算情况说明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十、其他重要事项的情况说明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（二）政府采购情况</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（三）国有资产占用情况说明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十一、预算绩效的情况说明</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十二、其他需说明的事项</w:t>
      </w:r>
    </w:p>
    <w:p w:rsidR="00FA3595" w:rsidRDefault="009F0B7E">
      <w:pPr>
        <w:spacing w:after="0" w:line="560" w:lineRule="exact"/>
        <w:rPr>
          <w:rFonts w:ascii="仿宋_GB2312" w:eastAsia="仿宋_GB2312"/>
          <w:sz w:val="32"/>
          <w:szCs w:val="32"/>
          <w:lang w:eastAsia="zh-CN"/>
        </w:rPr>
      </w:pPr>
      <w:r>
        <w:rPr>
          <w:rFonts w:ascii="仿宋_GB2312" w:eastAsia="仿宋_GB2312"/>
          <w:b/>
          <w:sz w:val="32"/>
          <w:szCs w:val="32"/>
          <w:lang w:eastAsia="zh-CN"/>
        </w:rPr>
        <w:lastRenderedPageBreak/>
        <w:t>第三部分</w:t>
      </w:r>
      <w:r w:rsidR="009C6247">
        <w:rPr>
          <w:rFonts w:ascii="仿宋_GB2312" w:eastAsia="仿宋_GB2312" w:hint="eastAsia"/>
          <w:b/>
          <w:sz w:val="32"/>
          <w:szCs w:val="32"/>
          <w:lang w:eastAsia="zh-CN"/>
        </w:rPr>
        <w:t xml:space="preserve"> </w:t>
      </w:r>
      <w:r>
        <w:rPr>
          <w:rFonts w:ascii="仿宋_GB2312" w:eastAsia="仿宋_GB2312"/>
          <w:b/>
          <w:sz w:val="32"/>
          <w:szCs w:val="32"/>
          <w:lang w:eastAsia="zh-CN"/>
        </w:rPr>
        <w:t>专业名词解释</w:t>
      </w:r>
    </w:p>
    <w:p w:rsidR="00FA3595" w:rsidRDefault="009F0B7E">
      <w:pPr>
        <w:spacing w:after="0" w:line="560" w:lineRule="exact"/>
        <w:rPr>
          <w:rFonts w:ascii="仿宋_GB2312" w:eastAsia="仿宋_GB2312"/>
          <w:sz w:val="32"/>
          <w:szCs w:val="32"/>
          <w:lang w:eastAsia="zh-CN"/>
        </w:rPr>
      </w:pPr>
      <w:r>
        <w:rPr>
          <w:rFonts w:ascii="仿宋_GB2312" w:eastAsia="仿宋_GB2312"/>
          <w:b/>
          <w:sz w:val="32"/>
          <w:szCs w:val="32"/>
          <w:lang w:eastAsia="zh-CN"/>
        </w:rPr>
        <w:t>第四部分</w:t>
      </w:r>
      <w:r w:rsidR="009C6247">
        <w:rPr>
          <w:rFonts w:ascii="仿宋_GB2312" w:eastAsia="仿宋_GB2312" w:hint="eastAsia"/>
          <w:b/>
          <w:sz w:val="32"/>
          <w:szCs w:val="32"/>
          <w:lang w:eastAsia="zh-CN"/>
        </w:rPr>
        <w:t xml:space="preserve"> </w:t>
      </w:r>
      <w:r>
        <w:rPr>
          <w:rFonts w:ascii="仿宋_GB2312" w:eastAsia="仿宋_GB2312"/>
          <w:b/>
          <w:sz w:val="32"/>
          <w:szCs w:val="32"/>
          <w:lang w:eastAsia="zh-CN"/>
        </w:rPr>
        <w:t>部门决算报表（见附表）</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一、《收入支出决算总表》</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二、《收入决算表》</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三、《支出决算表》</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四、《财政拨款收入支出决算总表》</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rsidR="00FA3595" w:rsidRDefault="009F0B7E">
      <w:pPr>
        <w:spacing w:after="0" w:line="560" w:lineRule="exact"/>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rsidR="00FA3595" w:rsidRDefault="009F0B7E">
      <w:pPr>
        <w:spacing w:line="560" w:lineRule="exact"/>
        <w:rPr>
          <w:lang w:eastAsia="zh-CN"/>
        </w:rPr>
      </w:pPr>
      <w:r>
        <w:rPr>
          <w:sz w:val="0"/>
          <w:szCs w:val="0"/>
          <w:lang w:eastAsia="zh-CN"/>
        </w:rPr>
        <w:br w:type="page"/>
      </w:r>
    </w:p>
    <w:p w:rsidR="00FA3595" w:rsidRDefault="009F0B7E">
      <w:pPr>
        <w:spacing w:after="0" w:line="560" w:lineRule="exact"/>
        <w:jc w:val="center"/>
        <w:outlineLvl w:val="0"/>
        <w:rPr>
          <w:rFonts w:ascii="黑体" w:eastAsia="黑体"/>
          <w:sz w:val="32"/>
          <w:szCs w:val="32"/>
          <w:lang w:eastAsia="zh-CN"/>
        </w:rPr>
      </w:pPr>
      <w:r>
        <w:rPr>
          <w:rFonts w:ascii="黑体" w:eastAsia="黑体"/>
          <w:sz w:val="32"/>
          <w:szCs w:val="32"/>
          <w:lang w:eastAsia="zh-CN"/>
        </w:rPr>
        <w:lastRenderedPageBreak/>
        <w:t>第一部分</w:t>
      </w:r>
      <w:r w:rsidR="009C6247">
        <w:rPr>
          <w:rFonts w:ascii="黑体" w:eastAsia="黑体" w:hint="eastAsia"/>
          <w:sz w:val="32"/>
          <w:szCs w:val="32"/>
          <w:lang w:eastAsia="zh-CN"/>
        </w:rPr>
        <w:t xml:space="preserve"> </w:t>
      </w:r>
      <w:r>
        <w:rPr>
          <w:rFonts w:ascii="黑体" w:eastAsia="黑体"/>
          <w:sz w:val="32"/>
          <w:szCs w:val="32"/>
          <w:lang w:eastAsia="zh-CN"/>
        </w:rPr>
        <w:t>单位概况</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一、主要职能</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新疆畜牧科学院主要负责和管理全院科研计划和科技创新体系的建设；参与自治区有关畜牧科技和重大项目的规划和实施，组织各业务部门开展国家科技计划、国家重大科技专项、农业部公益性行业科研专项、自治区科技计划以及其他成果转化、技术推广和技术服务项目的申报、立项、实施和成果鉴定；协调本院与国家科技部、农业部有关司局及自治区有关部门的业务关系；组织科技人员开展学术交流和学术活动。</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新疆畜牧科学院2024年度，实有人数105人，其中：在职人员51人，减少1人；离休人员2人，较上年无变化；退休人员52人，增加1人。</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新疆畜牧科学院无下属预算单位，下设6个</w:t>
      </w:r>
      <w:r>
        <w:rPr>
          <w:rFonts w:ascii="仿宋_GB2312" w:eastAsia="仿宋_GB2312" w:hint="eastAsia"/>
          <w:sz w:val="32"/>
          <w:szCs w:val="32"/>
          <w:lang w:eastAsia="zh-CN"/>
        </w:rPr>
        <w:t>处室</w:t>
      </w:r>
      <w:r>
        <w:rPr>
          <w:rFonts w:ascii="仿宋_GB2312" w:eastAsia="仿宋_GB2312"/>
          <w:sz w:val="32"/>
          <w:szCs w:val="32"/>
          <w:lang w:eastAsia="zh-CN"/>
        </w:rPr>
        <w:t>，分别是：办公室、组织人事处、计划财务审计处、科技管理与国际合作处、离退休服务中心、纪检委。</w:t>
      </w:r>
    </w:p>
    <w:p w:rsidR="00FA3595" w:rsidRDefault="009F0B7E">
      <w:pPr>
        <w:spacing w:line="560" w:lineRule="exact"/>
        <w:rPr>
          <w:lang w:eastAsia="zh-CN"/>
        </w:rPr>
      </w:pPr>
      <w:r>
        <w:rPr>
          <w:sz w:val="0"/>
          <w:szCs w:val="0"/>
          <w:lang w:eastAsia="zh-CN"/>
        </w:rPr>
        <w:br w:type="page"/>
      </w:r>
    </w:p>
    <w:p w:rsidR="00FA3595" w:rsidRDefault="009F0B7E">
      <w:pPr>
        <w:spacing w:after="0" w:line="560" w:lineRule="exact"/>
        <w:jc w:val="center"/>
        <w:outlineLvl w:val="0"/>
        <w:rPr>
          <w:rFonts w:ascii="黑体" w:eastAsia="黑体"/>
          <w:sz w:val="32"/>
          <w:szCs w:val="32"/>
          <w:lang w:eastAsia="zh-CN"/>
        </w:rPr>
      </w:pPr>
      <w:r>
        <w:rPr>
          <w:rFonts w:ascii="黑体" w:eastAsia="黑体"/>
          <w:sz w:val="32"/>
          <w:szCs w:val="32"/>
          <w:lang w:eastAsia="zh-CN"/>
        </w:rPr>
        <w:lastRenderedPageBreak/>
        <w:t>第二部分</w:t>
      </w:r>
      <w:r w:rsidR="009C6247">
        <w:rPr>
          <w:rFonts w:ascii="黑体" w:eastAsia="黑体" w:hint="eastAsia"/>
          <w:sz w:val="32"/>
          <w:szCs w:val="32"/>
          <w:lang w:eastAsia="zh-CN"/>
        </w:rPr>
        <w:t xml:space="preserve"> </w:t>
      </w:r>
      <w:r>
        <w:rPr>
          <w:rFonts w:ascii="黑体" w:eastAsia="黑体"/>
          <w:sz w:val="32"/>
          <w:szCs w:val="32"/>
          <w:lang w:eastAsia="zh-CN"/>
        </w:rPr>
        <w:t>部门决算情况说明</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rsidR="00FA3595" w:rsidRDefault="009F0B7E">
      <w:pPr>
        <w:spacing w:after="0" w:line="560" w:lineRule="exact"/>
        <w:ind w:firstLineChars="200" w:firstLine="643"/>
        <w:jc w:val="both"/>
        <w:rPr>
          <w:rFonts w:ascii="仿宋_GB2312" w:eastAsia="仿宋_GB2312"/>
          <w:sz w:val="32"/>
          <w:szCs w:val="32"/>
          <w:lang w:eastAsia="zh-CN"/>
        </w:rPr>
      </w:pPr>
      <w:r w:rsidRPr="008524AA">
        <w:rPr>
          <w:rFonts w:ascii="仿宋_GB2312" w:eastAsia="仿宋_GB2312"/>
          <w:b/>
          <w:sz w:val="32"/>
          <w:szCs w:val="32"/>
          <w:lang w:eastAsia="zh-CN"/>
        </w:rPr>
        <w:t>2024年度收入总计6,125.91万元，</w:t>
      </w:r>
      <w:r>
        <w:rPr>
          <w:rFonts w:ascii="仿宋_GB2312" w:eastAsia="仿宋_GB2312"/>
          <w:sz w:val="32"/>
          <w:szCs w:val="32"/>
          <w:lang w:eastAsia="zh-CN"/>
        </w:rPr>
        <w:t>其中：本年收入合计4,417.48万元，使用非财政拨款结余（含专用结余）35.66万元，年初结转和结余1,672.76万元。</w:t>
      </w:r>
    </w:p>
    <w:p w:rsidR="00FA3595" w:rsidRDefault="009F0B7E">
      <w:pPr>
        <w:spacing w:after="0" w:line="560" w:lineRule="exact"/>
        <w:ind w:firstLineChars="200" w:firstLine="643"/>
        <w:jc w:val="both"/>
        <w:rPr>
          <w:rFonts w:ascii="仿宋_GB2312" w:eastAsia="仿宋_GB2312"/>
          <w:sz w:val="32"/>
          <w:szCs w:val="32"/>
          <w:lang w:eastAsia="zh-CN"/>
        </w:rPr>
      </w:pPr>
      <w:r w:rsidRPr="008524AA">
        <w:rPr>
          <w:rFonts w:ascii="仿宋_GB2312" w:eastAsia="仿宋_GB2312"/>
          <w:b/>
          <w:sz w:val="32"/>
          <w:szCs w:val="32"/>
          <w:lang w:eastAsia="zh-CN"/>
        </w:rPr>
        <w:t>2024年度支出总计6,125.91万元，</w:t>
      </w:r>
      <w:r>
        <w:rPr>
          <w:rFonts w:ascii="仿宋_GB2312" w:eastAsia="仿宋_GB2312"/>
          <w:sz w:val="32"/>
          <w:szCs w:val="32"/>
          <w:lang w:eastAsia="zh-CN"/>
        </w:rPr>
        <w:t>其中：本年支出合计4,177.81万元，结余分配0.00万元，年末结转和结余1,948.10万元。</w:t>
      </w:r>
    </w:p>
    <w:p w:rsidR="00FA3595" w:rsidRDefault="009F0B7E">
      <w:pPr>
        <w:spacing w:after="0" w:line="560" w:lineRule="exact"/>
        <w:ind w:firstLineChars="200" w:firstLine="643"/>
        <w:jc w:val="both"/>
        <w:rPr>
          <w:rFonts w:ascii="仿宋_GB2312" w:eastAsia="仿宋_GB2312"/>
          <w:sz w:val="32"/>
          <w:szCs w:val="32"/>
          <w:lang w:eastAsia="zh-CN"/>
        </w:rPr>
      </w:pPr>
      <w:r w:rsidRPr="008524AA">
        <w:rPr>
          <w:rFonts w:ascii="仿宋_GB2312" w:eastAsia="仿宋_GB2312"/>
          <w:b/>
          <w:sz w:val="32"/>
          <w:szCs w:val="32"/>
          <w:lang w:eastAsia="zh-CN"/>
        </w:rPr>
        <w:t>收入支出总体与上年相比，</w:t>
      </w:r>
      <w:r>
        <w:rPr>
          <w:rFonts w:ascii="仿宋_GB2312" w:eastAsia="仿宋_GB2312"/>
          <w:sz w:val="32"/>
          <w:szCs w:val="32"/>
          <w:lang w:eastAsia="zh-CN"/>
        </w:rPr>
        <w:t>减少311.63万元，下降4.84%，主要原因是：2023年收到《新疆畜牧科学院南疆多胎（多羔）绵羊育种创新项目》等科研经费较多，2024年收到国家自治区科研项目资金较上年减少。</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rsidR="00FA3595" w:rsidRDefault="009F0B7E">
      <w:pPr>
        <w:spacing w:after="0" w:line="560" w:lineRule="exact"/>
        <w:ind w:firstLineChars="200" w:firstLine="643"/>
        <w:jc w:val="both"/>
        <w:rPr>
          <w:rFonts w:ascii="仿宋_GB2312" w:eastAsia="仿宋_GB2312"/>
          <w:sz w:val="32"/>
          <w:szCs w:val="32"/>
          <w:lang w:eastAsia="zh-CN"/>
        </w:rPr>
      </w:pPr>
      <w:r w:rsidRPr="008524AA">
        <w:rPr>
          <w:rFonts w:ascii="仿宋_GB2312" w:eastAsia="仿宋_GB2312"/>
          <w:b/>
          <w:sz w:val="32"/>
          <w:szCs w:val="32"/>
          <w:lang w:eastAsia="zh-CN"/>
        </w:rPr>
        <w:t>本年收入4,417.48万元，</w:t>
      </w:r>
      <w:r>
        <w:rPr>
          <w:rFonts w:ascii="仿宋_GB2312" w:eastAsia="仿宋_GB2312"/>
          <w:sz w:val="32"/>
          <w:szCs w:val="32"/>
          <w:lang w:eastAsia="zh-CN"/>
        </w:rPr>
        <w:t>其中：财政拨款收入2,096.58万元,占47.46%；上级补助收入0.00万元,占0.00%；事业收入0.00万元，占0.00%；经营收入0.00万元,占0.00%；附属单位上缴收入0.00万元，占0.00%；其他收入2,320.90万元，占52.54%。</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rsidR="00FA3595" w:rsidRDefault="009F0B7E">
      <w:pPr>
        <w:spacing w:after="0" w:line="560" w:lineRule="exact"/>
        <w:ind w:firstLineChars="200" w:firstLine="643"/>
        <w:jc w:val="both"/>
        <w:rPr>
          <w:rFonts w:ascii="仿宋_GB2312" w:eastAsia="仿宋_GB2312"/>
          <w:sz w:val="32"/>
          <w:szCs w:val="32"/>
          <w:lang w:eastAsia="zh-CN"/>
        </w:rPr>
      </w:pPr>
      <w:r w:rsidRPr="008524AA">
        <w:rPr>
          <w:rFonts w:ascii="仿宋_GB2312" w:eastAsia="仿宋_GB2312"/>
          <w:b/>
          <w:sz w:val="32"/>
          <w:szCs w:val="32"/>
          <w:lang w:eastAsia="zh-CN"/>
        </w:rPr>
        <w:t>本年支出4,177.81万元，</w:t>
      </w:r>
      <w:r>
        <w:rPr>
          <w:rFonts w:ascii="仿宋_GB2312" w:eastAsia="仿宋_GB2312"/>
          <w:sz w:val="32"/>
          <w:szCs w:val="32"/>
          <w:lang w:eastAsia="zh-CN"/>
        </w:rPr>
        <w:t>其中：基本支出1,710.15万元，占40.93%；项目支出2,467.66万元，占59.07%；上缴上级支出0.00万元，占0.00%；经营支出0.00万元，占0.00%；对附属单位补助支出0.00万元，占0.00%。</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lastRenderedPageBreak/>
        <w:t>四、财政拨款收入支出决算总体情况说明</w:t>
      </w:r>
    </w:p>
    <w:p w:rsidR="00FA3595" w:rsidRDefault="009F0B7E">
      <w:pPr>
        <w:spacing w:after="0" w:line="560" w:lineRule="exact"/>
        <w:ind w:firstLineChars="200" w:firstLine="643"/>
        <w:jc w:val="both"/>
        <w:rPr>
          <w:rFonts w:ascii="仿宋_GB2312" w:eastAsia="仿宋_GB2312"/>
          <w:sz w:val="32"/>
          <w:szCs w:val="32"/>
          <w:lang w:eastAsia="zh-CN"/>
        </w:rPr>
      </w:pPr>
      <w:r w:rsidRPr="008524AA">
        <w:rPr>
          <w:rFonts w:ascii="仿宋_GB2312" w:eastAsia="仿宋_GB2312"/>
          <w:b/>
          <w:sz w:val="32"/>
          <w:szCs w:val="32"/>
          <w:lang w:eastAsia="zh-CN"/>
        </w:rPr>
        <w:t>2024年度财政拨款收入总计2,105.47万元，</w:t>
      </w:r>
      <w:r>
        <w:rPr>
          <w:rFonts w:ascii="仿宋_GB2312" w:eastAsia="仿宋_GB2312"/>
          <w:sz w:val="32"/>
          <w:szCs w:val="32"/>
          <w:lang w:eastAsia="zh-CN"/>
        </w:rPr>
        <w:t>其中：年初财政拨款结转和结余8.89万元，本年财政拨款收入2,096.58万元。</w:t>
      </w:r>
      <w:r w:rsidRPr="008524AA">
        <w:rPr>
          <w:rFonts w:ascii="仿宋_GB2312" w:eastAsia="仿宋_GB2312"/>
          <w:b/>
          <w:sz w:val="32"/>
          <w:szCs w:val="32"/>
          <w:lang w:eastAsia="zh-CN"/>
        </w:rPr>
        <w:t>财政拨款支出总计2,105.47万元，</w:t>
      </w:r>
      <w:r>
        <w:rPr>
          <w:rFonts w:ascii="仿宋_GB2312" w:eastAsia="仿宋_GB2312"/>
          <w:sz w:val="32"/>
          <w:szCs w:val="32"/>
          <w:lang w:eastAsia="zh-CN"/>
        </w:rPr>
        <w:t>其中：年末财政拨款结转和结余0.00万元，本年财政拨款支出2,105.47万元。</w:t>
      </w:r>
    </w:p>
    <w:p w:rsidR="00FA3595" w:rsidRDefault="009F0B7E">
      <w:pPr>
        <w:spacing w:after="0" w:line="560" w:lineRule="exact"/>
        <w:ind w:firstLineChars="200" w:firstLine="643"/>
        <w:jc w:val="both"/>
        <w:rPr>
          <w:rFonts w:ascii="仿宋_GB2312" w:eastAsia="仿宋_GB2312"/>
          <w:sz w:val="32"/>
          <w:szCs w:val="32"/>
          <w:lang w:eastAsia="zh-CN"/>
        </w:rPr>
      </w:pPr>
      <w:r w:rsidRPr="008524AA">
        <w:rPr>
          <w:rFonts w:ascii="仿宋_GB2312" w:eastAsia="仿宋_GB2312"/>
          <w:b/>
          <w:sz w:val="32"/>
          <w:szCs w:val="32"/>
          <w:lang w:eastAsia="zh-CN"/>
        </w:rPr>
        <w:t>财政拨款收入支出总体与上年相比，</w:t>
      </w:r>
      <w:r>
        <w:rPr>
          <w:rFonts w:ascii="仿宋_GB2312" w:eastAsia="仿宋_GB2312"/>
          <w:sz w:val="32"/>
          <w:szCs w:val="32"/>
          <w:lang w:eastAsia="zh-CN"/>
        </w:rPr>
        <w:t>减少905.86万元，下降30.08%，主要原因是：2023年职工工资普调较高，2024年相较减少105.86万元；2023年财政拨款新疆畜牧科学院南疆多胎（多羔）绵羊育种创新项目经费900.00万元，2024年该项目大幅减少800.00万元，使得公共预算财政补助经费较上年大幅减少。</w:t>
      </w:r>
      <w:r w:rsidRPr="00627BD2">
        <w:rPr>
          <w:rFonts w:ascii="仿宋_GB2312" w:eastAsia="仿宋_GB2312"/>
          <w:b/>
          <w:sz w:val="32"/>
          <w:szCs w:val="32"/>
          <w:lang w:eastAsia="zh-CN"/>
        </w:rPr>
        <w:t>与年初预算相比，</w:t>
      </w:r>
      <w:r>
        <w:rPr>
          <w:rFonts w:ascii="仿宋_GB2312" w:eastAsia="仿宋_GB2312"/>
          <w:sz w:val="32"/>
          <w:szCs w:val="32"/>
          <w:lang w:eastAsia="zh-CN"/>
        </w:rPr>
        <w:t>年初预算数1,455.89万元，决算数2,105.47万元，预决算差异率44.62%，主要原因是：全年追加财政基本支出经费、财政项目经费和年初项目经费结转。</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rsidR="00FA3595" w:rsidRDefault="009F0B7E">
      <w:pPr>
        <w:spacing w:after="0" w:line="560" w:lineRule="exact"/>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rsidR="00FA3595" w:rsidRDefault="009F0B7E">
      <w:pPr>
        <w:spacing w:after="0" w:line="560" w:lineRule="exact"/>
        <w:ind w:firstLineChars="200" w:firstLine="643"/>
        <w:jc w:val="both"/>
        <w:rPr>
          <w:rFonts w:ascii="仿宋_GB2312" w:eastAsia="仿宋_GB2312"/>
          <w:sz w:val="32"/>
          <w:szCs w:val="32"/>
          <w:lang w:eastAsia="zh-CN"/>
        </w:rPr>
      </w:pPr>
      <w:r w:rsidRPr="00627BD2">
        <w:rPr>
          <w:rFonts w:ascii="仿宋_GB2312" w:eastAsia="仿宋_GB2312"/>
          <w:b/>
          <w:sz w:val="32"/>
          <w:szCs w:val="32"/>
          <w:lang w:eastAsia="zh-CN"/>
        </w:rPr>
        <w:t>2024年度一般公共预算财政拨款支出2,105.47万元，</w:t>
      </w:r>
      <w:r>
        <w:rPr>
          <w:rFonts w:ascii="仿宋_GB2312" w:eastAsia="仿宋_GB2312"/>
          <w:sz w:val="32"/>
          <w:szCs w:val="32"/>
          <w:lang w:eastAsia="zh-CN"/>
        </w:rPr>
        <w:t>占本年支出合计的50.40%。与上年相比，减少891.44万元，下降29.75%，主要原因是：2023年财政拨款新疆畜牧科学院南疆多胎（多羔）绵羊育种创新项目等经费较多，2024年此类项目经费较大幅减少891.44万元，使得公共预算财政补助经费较上年大幅减少。</w:t>
      </w:r>
      <w:r w:rsidRPr="00627BD2">
        <w:rPr>
          <w:rFonts w:ascii="仿宋_GB2312" w:eastAsia="仿宋_GB2312"/>
          <w:b/>
          <w:sz w:val="32"/>
          <w:szCs w:val="32"/>
          <w:lang w:eastAsia="zh-CN"/>
        </w:rPr>
        <w:t>与年初预算相比，</w:t>
      </w:r>
      <w:r>
        <w:rPr>
          <w:rFonts w:ascii="仿宋_GB2312" w:eastAsia="仿宋_GB2312"/>
          <w:sz w:val="32"/>
          <w:szCs w:val="32"/>
          <w:lang w:eastAsia="zh-CN"/>
        </w:rPr>
        <w:t>年初预算数1,455.89万元，决算数2,105.47万元，预决算差异率44.62%，主要原</w:t>
      </w:r>
      <w:r>
        <w:rPr>
          <w:rFonts w:ascii="仿宋_GB2312" w:eastAsia="仿宋_GB2312"/>
          <w:sz w:val="32"/>
          <w:szCs w:val="32"/>
          <w:lang w:eastAsia="zh-CN"/>
        </w:rPr>
        <w:lastRenderedPageBreak/>
        <w:t>因是：全年追加财政基本支出经费、财政项目经费和年初项目经费结转。</w:t>
      </w:r>
    </w:p>
    <w:p w:rsidR="00FA3595" w:rsidRDefault="009F0B7E">
      <w:pPr>
        <w:spacing w:after="0" w:line="560" w:lineRule="exact"/>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科学技术支出（类）1,925.47万元，占91.45%。</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农林水支出（类）180.00万元，占8.55%。</w:t>
      </w:r>
    </w:p>
    <w:p w:rsidR="00FA3595" w:rsidRDefault="009F0B7E">
      <w:pPr>
        <w:spacing w:after="0" w:line="560" w:lineRule="exact"/>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rsidR="00FA3595" w:rsidRDefault="009F0B7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1、科学技术支出（类）基础研究（款）实验室及相关设施（项）：支出决算数为0.00万元，比上年决算减少100.00万元，下降100.00%，主要原因是：2023年《科技创新平台-省部共建草食家畜遗传改良与种质创新国家重点实验室建设》项目经费100.00万元，2024年无该项目，因此下降100%。</w:t>
      </w:r>
    </w:p>
    <w:p w:rsidR="00FA3595" w:rsidRDefault="009F0B7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2、科学技术支出（类）基础研究（款）科技人才队伍建设（项）：支出决算数为208.89万元，比上年决算减少36.70万元，下降14.94%，主要原因是：2023年</w:t>
      </w:r>
      <w:r>
        <w:rPr>
          <w:rFonts w:ascii="仿宋_GB2312" w:eastAsia="仿宋_GB2312"/>
          <w:sz w:val="32"/>
          <w:szCs w:val="32"/>
          <w:lang w:eastAsia="zh-CN"/>
        </w:rPr>
        <w:t>“</w:t>
      </w:r>
      <w:r>
        <w:rPr>
          <w:rFonts w:ascii="仿宋_GB2312" w:eastAsia="仿宋_GB2312"/>
          <w:sz w:val="32"/>
          <w:szCs w:val="32"/>
          <w:lang w:eastAsia="zh-CN"/>
        </w:rPr>
        <w:t>天山英才</w:t>
      </w:r>
      <w:r>
        <w:rPr>
          <w:rFonts w:ascii="仿宋_GB2312" w:eastAsia="仿宋_GB2312"/>
          <w:sz w:val="32"/>
          <w:szCs w:val="32"/>
          <w:lang w:eastAsia="zh-CN"/>
        </w:rPr>
        <w:t>”</w:t>
      </w:r>
      <w:r>
        <w:rPr>
          <w:rFonts w:ascii="仿宋_GB2312" w:eastAsia="仿宋_GB2312"/>
          <w:sz w:val="32"/>
          <w:szCs w:val="32"/>
          <w:lang w:eastAsia="zh-CN"/>
        </w:rPr>
        <w:t>计划人才项目245.59万元，2024年</w:t>
      </w:r>
      <w:r>
        <w:rPr>
          <w:rFonts w:ascii="仿宋_GB2312" w:eastAsia="仿宋_GB2312"/>
          <w:sz w:val="32"/>
          <w:szCs w:val="32"/>
          <w:lang w:eastAsia="zh-CN"/>
        </w:rPr>
        <w:t>“</w:t>
      </w:r>
      <w:r>
        <w:rPr>
          <w:rFonts w:ascii="仿宋_GB2312" w:eastAsia="仿宋_GB2312"/>
          <w:sz w:val="32"/>
          <w:szCs w:val="32"/>
          <w:lang w:eastAsia="zh-CN"/>
        </w:rPr>
        <w:t>天山英才</w:t>
      </w:r>
      <w:r>
        <w:rPr>
          <w:rFonts w:ascii="仿宋_GB2312" w:eastAsia="仿宋_GB2312"/>
          <w:sz w:val="32"/>
          <w:szCs w:val="32"/>
          <w:lang w:eastAsia="zh-CN"/>
        </w:rPr>
        <w:t>”</w:t>
      </w:r>
      <w:r>
        <w:rPr>
          <w:rFonts w:ascii="仿宋_GB2312" w:eastAsia="仿宋_GB2312"/>
          <w:sz w:val="32"/>
          <w:szCs w:val="32"/>
          <w:lang w:eastAsia="zh-CN"/>
        </w:rPr>
        <w:t>计划人才项目208.89万元，减少36.70万元，因此较上年有所减少。</w:t>
      </w:r>
    </w:p>
    <w:p w:rsidR="00FA3595" w:rsidRDefault="009F0B7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3、科学技术支出（类）应用研究（款）机构运行（项）：支出决算数为1,710.15万元，比上年决算减少32.87万元，下降1.89%，主要原因是：2023年退休职工去世较多，2024年退休职工去世较少，导致人员经费减少。</w:t>
      </w:r>
    </w:p>
    <w:p w:rsidR="00FA3595" w:rsidRDefault="009F0B7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4、科学技术支出（类）科技条件与服务（款）其他科技条件与服务支出（项）：支出决算数为6.43万元，比上年决算减少1.88万元，下降22.62%，主要原因是：《2023年</w:t>
      </w:r>
      <w:r>
        <w:rPr>
          <w:rFonts w:ascii="仿宋_GB2312" w:eastAsia="仿宋_GB2312"/>
          <w:sz w:val="32"/>
          <w:szCs w:val="32"/>
          <w:lang w:eastAsia="zh-CN"/>
        </w:rPr>
        <w:t>“</w:t>
      </w:r>
      <w:r>
        <w:rPr>
          <w:rFonts w:ascii="仿宋_GB2312" w:eastAsia="仿宋_GB2312"/>
          <w:sz w:val="32"/>
          <w:szCs w:val="32"/>
          <w:lang w:eastAsia="zh-CN"/>
        </w:rPr>
        <w:t>三</w:t>
      </w:r>
      <w:r>
        <w:rPr>
          <w:rFonts w:ascii="仿宋_GB2312" w:eastAsia="仿宋_GB2312"/>
          <w:sz w:val="32"/>
          <w:szCs w:val="32"/>
          <w:lang w:eastAsia="zh-CN"/>
        </w:rPr>
        <w:lastRenderedPageBreak/>
        <w:t>区</w:t>
      </w:r>
      <w:r>
        <w:rPr>
          <w:rFonts w:ascii="仿宋_GB2312" w:eastAsia="仿宋_GB2312"/>
          <w:sz w:val="32"/>
          <w:szCs w:val="32"/>
          <w:lang w:eastAsia="zh-CN"/>
        </w:rPr>
        <w:t>“</w:t>
      </w:r>
      <w:r>
        <w:rPr>
          <w:rFonts w:ascii="仿宋_GB2312" w:eastAsia="仿宋_GB2312"/>
          <w:sz w:val="32"/>
          <w:szCs w:val="32"/>
          <w:lang w:eastAsia="zh-CN"/>
        </w:rPr>
        <w:t>科技人才支持计划》项目津补贴人数较多，《2024年</w:t>
      </w:r>
      <w:r>
        <w:rPr>
          <w:rFonts w:ascii="仿宋_GB2312" w:eastAsia="仿宋_GB2312"/>
          <w:sz w:val="32"/>
          <w:szCs w:val="32"/>
          <w:lang w:eastAsia="zh-CN"/>
        </w:rPr>
        <w:t>“</w:t>
      </w:r>
      <w:r>
        <w:rPr>
          <w:rFonts w:ascii="仿宋_GB2312" w:eastAsia="仿宋_GB2312"/>
          <w:sz w:val="32"/>
          <w:szCs w:val="32"/>
          <w:lang w:eastAsia="zh-CN"/>
        </w:rPr>
        <w:t>三区</w:t>
      </w:r>
      <w:r>
        <w:rPr>
          <w:rFonts w:ascii="仿宋_GB2312" w:eastAsia="仿宋_GB2312"/>
          <w:sz w:val="32"/>
          <w:szCs w:val="32"/>
          <w:lang w:eastAsia="zh-CN"/>
        </w:rPr>
        <w:t>“</w:t>
      </w:r>
      <w:r>
        <w:rPr>
          <w:rFonts w:ascii="仿宋_GB2312" w:eastAsia="仿宋_GB2312"/>
          <w:sz w:val="32"/>
          <w:szCs w:val="32"/>
          <w:lang w:eastAsia="zh-CN"/>
        </w:rPr>
        <w:t>科技人才支持计划》项目津补贴人数减少，所以相比上年决算减少。</w:t>
      </w:r>
    </w:p>
    <w:p w:rsidR="00FA3595" w:rsidRDefault="009F0B7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5、农林水支出（类）农业农村（款）科技转化与推广服务（项）：支出决算数为50.00万元，比上年决算减少850.00万元，下降94.44%，主要原因是：2023年《新疆畜牧科学院南疆多胎（多羔）绵羊育种创新项目》经费较多，2024年《新疆畜牧科学院南疆多胎（多羔）绵羊育种创新项目》经费大幅减少，因此相比上年决算减少。</w:t>
      </w:r>
    </w:p>
    <w:p w:rsidR="00FA3595" w:rsidRDefault="009F0B7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6、农林水支出（类）农业农村（款）防灾救灾（项）：支出决算数为30.00万元，比上年决算增加30.00万元，增长100.00%，主要原因是：2023年无《农业防灾救灾和水利救灾资金》，2024年新增《农业防灾救灾和水利救灾资金》30.00万元。因此相比上年决算增加。</w:t>
      </w:r>
    </w:p>
    <w:p w:rsidR="00FA3595" w:rsidRDefault="009F0B7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7、农林水支出（类）农业农村（款）农业生态资源保护（项）：支出决算数为100.00万元，比上年决算增加100.00万元，增长100.00%，主要原因是：2023年无《南疆多胎（多羔）绵羊育种创新项目》项目，2024年《南疆多胎（多羔）绵羊育种创新项目》项目100.00万元，因此与上年决算相比增加。</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2024年度一般公共预算财政拨款基本支出1,710.15万元，其中：人员经费1,404.75万元，包括：基本工资、津贴补贴、</w:t>
      </w:r>
      <w:r>
        <w:rPr>
          <w:rFonts w:ascii="仿宋_GB2312" w:eastAsia="仿宋_GB2312"/>
          <w:sz w:val="32"/>
          <w:szCs w:val="32"/>
          <w:lang w:eastAsia="zh-CN"/>
        </w:rPr>
        <w:lastRenderedPageBreak/>
        <w:t>奖金、绩效工资、机关事业单位基本养老保险缴费、职业年金缴费、职工基本医疗保险缴费、公务员医疗补助缴费、其他社会保障缴费、住房公积金、其他工资福利支出、离休费、退休费、抚恤金、生活补助和其他对个人和家庭的补助。</w:t>
      </w:r>
    </w:p>
    <w:p w:rsidR="00FA3595" w:rsidRDefault="009F0B7E">
      <w:pPr>
        <w:spacing w:after="0" w:line="560" w:lineRule="exact"/>
        <w:ind w:firstLineChars="200" w:firstLine="643"/>
        <w:jc w:val="both"/>
        <w:rPr>
          <w:rFonts w:ascii="仿宋_GB2312" w:eastAsia="仿宋_GB2312"/>
          <w:sz w:val="32"/>
          <w:szCs w:val="32"/>
          <w:lang w:eastAsia="zh-CN"/>
        </w:rPr>
      </w:pPr>
      <w:r w:rsidRPr="00627BD2">
        <w:rPr>
          <w:rFonts w:ascii="仿宋_GB2312" w:eastAsia="仿宋_GB2312"/>
          <w:b/>
          <w:sz w:val="32"/>
          <w:szCs w:val="32"/>
          <w:lang w:eastAsia="zh-CN"/>
        </w:rPr>
        <w:t>公用经费305.40万元，</w:t>
      </w:r>
      <w:r>
        <w:rPr>
          <w:rFonts w:ascii="仿宋_GB2312" w:eastAsia="仿宋_GB2312"/>
          <w:sz w:val="32"/>
          <w:szCs w:val="32"/>
          <w:lang w:eastAsia="zh-CN"/>
        </w:rPr>
        <w:t>包括：办公费、水费、电费、邮电费、取暖费、物业管理费、差旅费、维修（护）费、专用材料费、劳务费、委托业务费、工会经费、福利费、公务用车运行维护费、其他交通费用、其他商品和服务支出和专用设备购置。</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rsidR="00FA3595" w:rsidRDefault="009F0B7E">
      <w:pPr>
        <w:spacing w:after="0" w:line="560" w:lineRule="exact"/>
        <w:ind w:firstLineChars="200" w:firstLine="643"/>
        <w:jc w:val="both"/>
        <w:rPr>
          <w:rFonts w:ascii="仿宋_GB2312" w:eastAsia="仿宋_GB2312"/>
          <w:sz w:val="32"/>
          <w:szCs w:val="32"/>
          <w:lang w:eastAsia="zh-CN"/>
        </w:rPr>
      </w:pPr>
      <w:r w:rsidRPr="00627BD2">
        <w:rPr>
          <w:rFonts w:ascii="仿宋_GB2312" w:eastAsia="仿宋_GB2312"/>
          <w:b/>
          <w:sz w:val="32"/>
          <w:szCs w:val="32"/>
          <w:lang w:eastAsia="zh-CN"/>
        </w:rPr>
        <w:t>2024年度财政拨款</w:t>
      </w:r>
      <w:r w:rsidRPr="00627BD2">
        <w:rPr>
          <w:rFonts w:ascii="仿宋_GB2312" w:eastAsia="仿宋_GB2312"/>
          <w:b/>
          <w:sz w:val="32"/>
          <w:szCs w:val="32"/>
          <w:lang w:eastAsia="zh-CN"/>
        </w:rPr>
        <w:t>“</w:t>
      </w:r>
      <w:r w:rsidRPr="00627BD2">
        <w:rPr>
          <w:rFonts w:ascii="仿宋_GB2312" w:eastAsia="仿宋_GB2312"/>
          <w:b/>
          <w:sz w:val="32"/>
          <w:szCs w:val="32"/>
          <w:lang w:eastAsia="zh-CN"/>
        </w:rPr>
        <w:t>三公</w:t>
      </w:r>
      <w:r w:rsidRPr="00627BD2">
        <w:rPr>
          <w:rFonts w:ascii="仿宋_GB2312" w:eastAsia="仿宋_GB2312"/>
          <w:b/>
          <w:sz w:val="32"/>
          <w:szCs w:val="32"/>
          <w:lang w:eastAsia="zh-CN"/>
        </w:rPr>
        <w:t>”</w:t>
      </w:r>
      <w:r w:rsidRPr="00627BD2">
        <w:rPr>
          <w:rFonts w:ascii="仿宋_GB2312" w:eastAsia="仿宋_GB2312"/>
          <w:b/>
          <w:sz w:val="32"/>
          <w:szCs w:val="32"/>
          <w:lang w:eastAsia="zh-CN"/>
        </w:rPr>
        <w:t>经费支出5.36万元，</w:t>
      </w:r>
      <w:r>
        <w:rPr>
          <w:rFonts w:ascii="仿宋_GB2312" w:eastAsia="仿宋_GB2312"/>
          <w:sz w:val="32"/>
          <w:szCs w:val="32"/>
          <w:lang w:eastAsia="zh-CN"/>
        </w:rPr>
        <w:t>比上年减少0.00万元，下降0.00%，主要原因是：我单位严格执行</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经费预算，严格控制因公出国（境）费及公务接待费，加强公务用车管理，减少公车出行，严格控制</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经费支出。其中：因公出国（境）费支出0.00万元,占0.00%，与上年相比无变化，主要原因是：我单位2023年、2024年未安排因公</w:t>
      </w:r>
      <w:r>
        <w:rPr>
          <w:rFonts w:ascii="仿宋_GB2312" w:eastAsia="仿宋_GB2312"/>
          <w:sz w:val="32"/>
          <w:szCs w:val="32"/>
          <w:lang w:eastAsia="zh-CN"/>
        </w:rPr>
        <w:lastRenderedPageBreak/>
        <w:t>出国（境）费预算；公务用车购置及运行维护费支出5.36万元，占100.00%，比上年减少0.00万元，下降0.00%，主要原因是：我单位严格执行</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经费预算，加强公务用车管理，减少公车出行，严格控制</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经费支出；公务接待费支出0.00万元，占0.00%，与上年相比无变化，主要原因是：我单位2023年、2024年未安排公务接待费预算。</w:t>
      </w:r>
    </w:p>
    <w:p w:rsidR="00FA3595" w:rsidRPr="00627BD2" w:rsidRDefault="009F0B7E">
      <w:pPr>
        <w:spacing w:after="0" w:line="560" w:lineRule="exact"/>
        <w:ind w:firstLineChars="200" w:firstLine="643"/>
        <w:rPr>
          <w:rFonts w:ascii="仿宋_GB2312" w:eastAsia="仿宋_GB2312"/>
          <w:b/>
          <w:sz w:val="32"/>
          <w:szCs w:val="32"/>
          <w:lang w:eastAsia="zh-CN"/>
        </w:rPr>
      </w:pPr>
      <w:r w:rsidRPr="00627BD2">
        <w:rPr>
          <w:rFonts w:ascii="仿宋_GB2312" w:eastAsia="仿宋_GB2312"/>
          <w:b/>
          <w:sz w:val="32"/>
          <w:szCs w:val="32"/>
          <w:lang w:eastAsia="zh-CN"/>
        </w:rPr>
        <w:t>具体情况如下：</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因公出国（境）费支出0.00万元，开支内容包括我单位2023年、2024年未安排因公出国（境）费预算。单位全年安排的因公出国（境）团组0个，因公出国（境）0人次。</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5.36万元，其中：公务用车购置费0.00万元，公务用车运行维护费5.36万元。公务用车运行维护费开支内容包括公车燃油费、公车维修费、公车保险费、公车停车过路费、审验费等。公务用车购置数0辆，公务用车保有量8辆。国有资产占用情况中固定资产车辆8辆，与公务用车保有量差异原因是：公务用车保有量与国有资产占用情况中固定资产车辆无差异。</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公务接待费0.00万元，开支内容包括我单位2023年、2024年未安排公务接待费预算。单位全年安排的国内公务接待0批次，0人次。</w:t>
      </w:r>
    </w:p>
    <w:p w:rsidR="00FA3595" w:rsidRDefault="009F0B7E">
      <w:pPr>
        <w:spacing w:after="0" w:line="560" w:lineRule="exact"/>
        <w:ind w:firstLineChars="200" w:firstLine="643"/>
        <w:jc w:val="both"/>
        <w:rPr>
          <w:rFonts w:ascii="仿宋_GB2312" w:eastAsia="仿宋_GB2312"/>
          <w:sz w:val="32"/>
          <w:szCs w:val="32"/>
          <w:lang w:eastAsia="zh-CN"/>
        </w:rPr>
      </w:pPr>
      <w:r w:rsidRPr="00627BD2">
        <w:rPr>
          <w:rFonts w:ascii="仿宋_GB2312" w:eastAsia="仿宋_GB2312"/>
          <w:b/>
          <w:sz w:val="32"/>
          <w:szCs w:val="32"/>
          <w:lang w:eastAsia="zh-CN"/>
        </w:rPr>
        <w:t>与全年预算相比，</w:t>
      </w:r>
      <w:r>
        <w:rPr>
          <w:rFonts w:ascii="仿宋_GB2312" w:eastAsia="仿宋_GB2312"/>
          <w:sz w:val="32"/>
          <w:szCs w:val="32"/>
          <w:lang w:eastAsia="zh-CN"/>
        </w:rPr>
        <w:t>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经费支出全年预算数5.36万元，决算数5.36万元，预决算差异率0.00%，主要原因是：我单位严格执行</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经费预算，严格控制因公出国</w:t>
      </w:r>
      <w:r>
        <w:rPr>
          <w:rFonts w:ascii="仿宋_GB2312" w:eastAsia="仿宋_GB2312"/>
          <w:sz w:val="32"/>
          <w:szCs w:val="32"/>
          <w:lang w:eastAsia="zh-CN"/>
        </w:rPr>
        <w:lastRenderedPageBreak/>
        <w:t>（境）费及公务接待费，加强公务用车管理，减少公车出行，严格控制</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其中：因公出国（境）费全年预算数0.00万元，决算数0.00万元，预决算差异率0.00%，主要原因是：我单位2023年、2024年未安排因公出国（境）费预算；公务用车购置费全年预算数0.00万元，决算数0.00万元，预决算差异率0.00%，主要原因是：我单位2023年、2024年未安排公务用车购置费预算；公务用车运行维护费全年预算数5.36万元，决算数5.36万元，预决算差异率0.00%，主要原因是：我单位严格执行</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经费预算，加强公务用车管理，减少公车出行，严格控制</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经费支出；公务接待费全年预算数0.00万元，决算数0.00万元，预决算差异率0.00%，主要原因是：我单位2023年、2024年未安排公务接待费预算。</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rsidR="00FA3595" w:rsidRDefault="009F0B7E">
      <w:pPr>
        <w:spacing w:after="0" w:line="560" w:lineRule="exact"/>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2024年度新疆畜牧科学院单位（事业单位）公用经费支出305.40万元，比上年减少27.47万元，下降8.25%，主要原因是：因在职人员人数相比上年减少，所以公用经费支出减少。</w:t>
      </w:r>
    </w:p>
    <w:p w:rsidR="00FA3595" w:rsidRDefault="009F0B7E">
      <w:pPr>
        <w:spacing w:after="0" w:line="560" w:lineRule="exact"/>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2024年度政府采购支出总额141.82万元，其中：政府采购货物支出1.88万元、政府采购工程支出90.00万元、政府采购服务支出49.94万元。</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授予中小企业合同金额140.32万元，占政府采购支出总额的98.94%，其中：授予小微企业合同金额48.83万元，占政府采购支出总额的34.43%。</w:t>
      </w:r>
    </w:p>
    <w:p w:rsidR="00FA3595" w:rsidRDefault="009F0B7E">
      <w:pPr>
        <w:spacing w:after="0" w:line="560" w:lineRule="exact"/>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截至2024年12月31日，房屋44,089.41平方米，价值14,918.83万元。</w:t>
      </w:r>
      <w:r>
        <w:rPr>
          <w:rFonts w:ascii="仿宋_GB2312" w:eastAsia="仿宋_GB2312"/>
          <w:sz w:val="32"/>
          <w:szCs w:val="32"/>
          <w:lang w:eastAsia="zh-CN"/>
        </w:rPr>
        <w:t>车辆8辆，价值289.54万元，其中：副部（省）级及以上领导用车0辆、主要负责人用车1辆、机要通信用车0辆、应急保障用车0辆、执法执勤用车0辆、特种专业技术用车0辆、离退休干部服务用车0辆、其他用车7辆，其他用车主要是：一般公务用车;单价100万元（含）以上设备（不含车辆）2台。</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评价项目1个，全年预算数12,551.74万元，全年执行数2,320.90万元。预算绩效管理取得的成效：一是认真贯彻落实自治区党委统筹推进畜牧科技技术和经济技术发展工作部署，保障相关项目顺利推进；二是改善科研条件，进一步为畜牧产业高质量发展提质增效。发现的问题及原因：一是预算绩效设置不够贴合实际，原因是在考虑项目预算绩效时忽略了资金到位的及时性；二是材料费、劳务费、差旅费、完成试验等成本完成率较低，原因是我单位承担的科研项目大部分为3-5年延续性项目，无法在一年内完成项目执行，因此实际完成金额与预算金额相差较大。下一步改进措施：一是进一步健全和完善</w:t>
      </w:r>
      <w:r>
        <w:rPr>
          <w:rFonts w:ascii="仿宋_GB2312" w:eastAsia="仿宋_GB2312"/>
          <w:sz w:val="32"/>
          <w:szCs w:val="32"/>
          <w:lang w:eastAsia="zh-CN"/>
        </w:rPr>
        <w:lastRenderedPageBreak/>
        <w:t>财务管理制度及绩效评价管理办法，积极提升绩效管理水平；二是合理安排各项目预算资金支出，尽可能制定准确均衡的预算支出计划，以利于单位科研工作正常开展，保障重点项目顺利实施。具体附项目支出绩效自评表。</w:t>
      </w:r>
    </w:p>
    <w:p w:rsidR="00FA3595" w:rsidRDefault="009F0B7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rsidR="00FA3595" w:rsidRDefault="009F0B7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rsidR="00FA3595" w:rsidRDefault="00FA3595">
      <w:pPr>
        <w:spacing w:after="0" w:line="560" w:lineRule="exact"/>
        <w:ind w:firstLineChars="200" w:firstLine="640"/>
        <w:rPr>
          <w:rFonts w:ascii="仿宋_GB2312" w:eastAsia="仿宋_GB2312"/>
          <w:sz w:val="32"/>
          <w:szCs w:val="32"/>
          <w:lang w:eastAsia="zh-CN"/>
        </w:rPr>
      </w:pPr>
    </w:p>
    <w:p w:rsidR="00FA3595" w:rsidRDefault="009F0B7E">
      <w:pPr>
        <w:spacing w:line="560" w:lineRule="exact"/>
        <w:rPr>
          <w:lang w:eastAsia="zh-CN"/>
        </w:rPr>
      </w:pPr>
      <w:r>
        <w:rPr>
          <w:sz w:val="0"/>
          <w:szCs w:val="0"/>
          <w:lang w:eastAsia="zh-CN"/>
        </w:rPr>
        <w:br w:type="page"/>
      </w:r>
    </w:p>
    <w:p w:rsidR="00FA3595" w:rsidRDefault="009F0B7E">
      <w:pPr>
        <w:spacing w:after="0" w:line="560" w:lineRule="exact"/>
        <w:jc w:val="center"/>
        <w:outlineLvl w:val="0"/>
        <w:rPr>
          <w:rFonts w:ascii="黑体" w:eastAsia="黑体"/>
          <w:sz w:val="32"/>
          <w:szCs w:val="32"/>
          <w:lang w:eastAsia="zh-CN"/>
        </w:rPr>
      </w:pPr>
      <w:r>
        <w:rPr>
          <w:rFonts w:ascii="黑体" w:eastAsia="黑体"/>
          <w:sz w:val="32"/>
          <w:szCs w:val="32"/>
          <w:lang w:eastAsia="zh-CN"/>
        </w:rPr>
        <w:lastRenderedPageBreak/>
        <w:t>第三部分</w:t>
      </w:r>
      <w:r w:rsidR="00D20445">
        <w:rPr>
          <w:rFonts w:ascii="黑体" w:eastAsia="黑体" w:hint="eastAsia"/>
          <w:sz w:val="32"/>
          <w:szCs w:val="32"/>
          <w:lang w:eastAsia="zh-CN"/>
        </w:rPr>
        <w:t xml:space="preserve"> </w:t>
      </w:r>
      <w:r>
        <w:rPr>
          <w:rFonts w:ascii="黑体" w:eastAsia="黑体"/>
          <w:sz w:val="32"/>
          <w:szCs w:val="32"/>
          <w:lang w:eastAsia="zh-CN"/>
        </w:rPr>
        <w:t>专业名词解释</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FA3595" w:rsidRDefault="009F0B7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rsidR="00FA3595" w:rsidRDefault="009F0B7E">
      <w:pPr>
        <w:spacing w:line="560" w:lineRule="exact"/>
        <w:rPr>
          <w:lang w:eastAsia="zh-CN"/>
        </w:rPr>
      </w:pPr>
      <w:r>
        <w:rPr>
          <w:sz w:val="0"/>
          <w:szCs w:val="0"/>
          <w:lang w:eastAsia="zh-CN"/>
        </w:rPr>
        <w:br w:type="page"/>
      </w:r>
    </w:p>
    <w:p w:rsidR="00FA3595" w:rsidRDefault="009F0B7E">
      <w:pPr>
        <w:spacing w:after="0" w:line="560" w:lineRule="exact"/>
        <w:jc w:val="center"/>
        <w:outlineLvl w:val="0"/>
        <w:rPr>
          <w:rFonts w:ascii="黑体" w:eastAsia="黑体"/>
          <w:sz w:val="32"/>
          <w:szCs w:val="32"/>
          <w:lang w:eastAsia="zh-CN"/>
        </w:rPr>
      </w:pPr>
      <w:r>
        <w:rPr>
          <w:rFonts w:ascii="黑体" w:eastAsia="黑体"/>
          <w:sz w:val="32"/>
          <w:szCs w:val="32"/>
          <w:lang w:eastAsia="zh-CN"/>
        </w:rPr>
        <w:lastRenderedPageBreak/>
        <w:t>第四部分</w:t>
      </w:r>
      <w:r w:rsidR="00D20445">
        <w:rPr>
          <w:rFonts w:ascii="黑体" w:eastAsia="黑体" w:hint="eastAsia"/>
          <w:sz w:val="32"/>
          <w:szCs w:val="32"/>
          <w:lang w:eastAsia="zh-CN"/>
        </w:rPr>
        <w:t xml:space="preserve"> </w:t>
      </w:r>
      <w:bookmarkStart w:id="0" w:name="_GoBack"/>
      <w:bookmarkEnd w:id="0"/>
      <w:r>
        <w:rPr>
          <w:rFonts w:ascii="黑体" w:eastAsia="黑体"/>
          <w:sz w:val="32"/>
          <w:szCs w:val="32"/>
          <w:lang w:eastAsia="zh-CN"/>
        </w:rPr>
        <w:t>部门决算报表（见附表）</w:t>
      </w:r>
    </w:p>
    <w:p w:rsidR="00FA3595" w:rsidRDefault="009F0B7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rsidR="00FA3595" w:rsidRDefault="009F0B7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rsidR="00FA3595" w:rsidRDefault="009F0B7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rsidR="00FA3595" w:rsidRDefault="009F0B7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rsidR="00FA3595" w:rsidRDefault="009F0B7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rsidR="00FA3595" w:rsidRDefault="009F0B7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rsidR="00FA3595" w:rsidRDefault="009F0B7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rsidR="00FA3595" w:rsidRDefault="009F0B7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rsidR="00FA3595" w:rsidRDefault="009F0B7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A359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79D" w:rsidRDefault="0048779D">
      <w:pPr>
        <w:spacing w:line="240" w:lineRule="auto"/>
      </w:pPr>
      <w:r>
        <w:separator/>
      </w:r>
    </w:p>
  </w:endnote>
  <w:endnote w:type="continuationSeparator" w:id="0">
    <w:p w:rsidR="0048779D" w:rsidRDefault="004877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79D" w:rsidRDefault="0048779D">
      <w:pPr>
        <w:spacing w:after="0"/>
      </w:pPr>
      <w:r>
        <w:separator/>
      </w:r>
    </w:p>
  </w:footnote>
  <w:footnote w:type="continuationSeparator" w:id="0">
    <w:p w:rsidR="0048779D" w:rsidRDefault="0048779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
  <w:rsids>
    <w:rsidRoot w:val="00FA3595"/>
    <w:rsid w:val="000A7EA5"/>
    <w:rsid w:val="0048779D"/>
    <w:rsid w:val="00627BD2"/>
    <w:rsid w:val="008524AA"/>
    <w:rsid w:val="00940EDA"/>
    <w:rsid w:val="009C6247"/>
    <w:rsid w:val="009F0B7E"/>
    <w:rsid w:val="00D20445"/>
    <w:rsid w:val="00FA3595"/>
    <w:rsid w:val="49162731"/>
    <w:rsid w:val="53304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8B958"/>
  <w15:docId w15:val="{A6F83E08-FCC6-48EA-A29F-FA299C160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000FF" w:themeColor="hyperlink"/>
      <w:u w:val="single"/>
    </w:rPr>
  </w:style>
  <w:style w:type="character" w:customStyle="1" w:styleId="a6">
    <w:name w:val="页眉 字符"/>
    <w:basedOn w:val="a0"/>
    <w:link w:val="a5"/>
    <w:uiPriority w:val="99"/>
  </w:style>
  <w:style w:type="character" w:customStyle="1" w:styleId="10">
    <w:name w:val="标题 1 字符"/>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1021</Words>
  <Characters>5825</Characters>
  <Application>Microsoft Office Word</Application>
  <DocSecurity>0</DocSecurity>
  <Lines>48</Lines>
  <Paragraphs>13</Paragraphs>
  <ScaleCrop>false</ScaleCrop>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lenovo</cp:lastModifiedBy>
  <cp:revision>7</cp:revision>
  <dcterms:created xsi:type="dcterms:W3CDTF">2025-08-21T09:07:00Z</dcterms:created>
  <dcterms:modified xsi:type="dcterms:W3CDTF">2025-08-25T05:28:00Z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eyJoZGlkIjoiYjgyOGQyODI3NTAyMDJjYmRjZmFkZWE1NDI5Y2Q4NDIiLCJ1c2VySWQiOiI3MTY5ODcyNjEifQ==</vt:lpwstr>
  </property>
  <property fmtid="{D5CDD505-2E9C-101B-9397-08002B2CF9AE}" pid="3" name="KSOProductBuildVer">
    <vt:lpwstr>2052-11.8.2.10912</vt:lpwstr>
  </property>
  <property fmtid="{D5CDD505-2E9C-101B-9397-08002B2CF9AE}" pid="4" name="ICV">
    <vt:lpwstr>544492ADCF61469AA1206CD682FF591B_12</vt:lpwstr>
  </property>
</Properties>
</file>