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宋体" w:eastAsia="黑体"/>
          <w:sz w:val="44"/>
          <w:szCs w:val="44"/>
        </w:rPr>
      </w:pPr>
      <w:r>
        <w:rPr>
          <w:rFonts w:ascii="宋体" w:eastAsia="黑体"/>
          <w:b w:val="0"/>
          <w:sz w:val="44"/>
          <w:szCs w:val="44"/>
        </w:rPr>
        <w:t>新疆维吾尔自治区科学技术厅机关服务中心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ascii="黑体" w:eastAsia="黑体"/>
          <w:b/>
          <w:sz w:val="32"/>
          <w:szCs w:val="32"/>
        </w:rPr>
        <w:t>目</w:t>
      </w:r>
      <w:r>
        <w:rPr>
          <w:rFonts w:hint="default" w:ascii="黑体" w:eastAsia="黑体"/>
          <w:b/>
          <w:sz w:val="32"/>
          <w:szCs w:val="32"/>
          <w:lang w:val="en-US"/>
        </w:rPr>
        <w:t xml:space="preserve">  </w:t>
      </w:r>
      <w:r>
        <w:rPr>
          <w:rFonts w:ascii="黑体" w:eastAsia="黑体"/>
          <w:b/>
          <w:sz w:val="32"/>
          <w:szCs w:val="32"/>
        </w:rPr>
        <w:t>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default" w:ascii="仿宋_GB2312" w:eastAsia="仿宋_GB2312"/>
          <w:b/>
          <w:sz w:val="32"/>
          <w:szCs w:val="32"/>
          <w:lang w:val="en-US"/>
        </w:rPr>
        <w:t xml:space="preserve"> </w:t>
      </w:r>
      <w:r>
        <w:rPr>
          <w:rFonts w:ascii="仿宋_GB2312" w:eastAsia="仿宋_GB2312"/>
          <w:b/>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default" w:ascii="仿宋_GB2312" w:eastAsia="仿宋_GB2312"/>
          <w:b/>
          <w:sz w:val="32"/>
          <w:szCs w:val="32"/>
          <w:lang w:val="en-US"/>
        </w:rPr>
        <w:t xml:space="preserve"> </w:t>
      </w:r>
      <w:r>
        <w:rPr>
          <w:rFonts w:ascii="仿宋_GB2312" w:eastAsia="仿宋_GB2312"/>
          <w:b/>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default" w:ascii="仿宋_GB2312" w:eastAsia="仿宋_GB2312"/>
          <w:b/>
          <w:sz w:val="32"/>
          <w:szCs w:val="32"/>
          <w:lang w:val="en-US"/>
        </w:rPr>
        <w:t xml:space="preserve"> </w:t>
      </w:r>
      <w:r>
        <w:rPr>
          <w:rFonts w:ascii="仿宋_GB2312" w:eastAsia="仿宋_GB2312"/>
          <w:b/>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default" w:ascii="仿宋_GB2312" w:eastAsia="仿宋_GB2312"/>
          <w:b/>
          <w:sz w:val="32"/>
          <w:szCs w:val="32"/>
          <w:lang w:val="en-US"/>
        </w:rPr>
        <w:t xml:space="preserve"> </w:t>
      </w:r>
      <w:r>
        <w:rPr>
          <w:rFonts w:ascii="仿宋_GB2312" w:eastAsia="仿宋_GB2312"/>
          <w:b/>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default" w:ascii="黑体" w:eastAsia="黑体"/>
          <w:b w:val="0"/>
          <w:sz w:val="32"/>
          <w:szCs w:val="32"/>
          <w:lang w:val="en-US"/>
        </w:rPr>
        <w:t xml:space="preserve"> </w:t>
      </w:r>
      <w:r>
        <w:rPr>
          <w:rFonts w:ascii="黑体" w:eastAsia="黑体"/>
          <w:b w:val="0"/>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为机关办公提供服务保障，厅机关后勤服务。如：物业管理、水电暖维修、房屋维修、卫生绿化、房产管理和车辆保障等。</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新疆维吾尔自治区科学技术厅机关服务中心2024年度，实有人数43人，其中：在职人员18人，较上年无变化；离休人员0人，较上年无变化；退休人员25人，较上年无变化；</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新疆维吾尔自治区科学技术厅机关服务中心无下属预算单位，下设5个科室，分别是：办公室、物业科、工程科、资产科和车队。</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w:t>
      </w:r>
      <w:r>
        <w:rPr>
          <w:rFonts w:hint="default" w:ascii="黑体" w:eastAsia="黑体"/>
          <w:b w:val="0"/>
          <w:sz w:val="32"/>
          <w:szCs w:val="32"/>
          <w:lang w:val="en-US"/>
        </w:rPr>
        <w:t xml:space="preserve"> </w:t>
      </w:r>
      <w:r>
        <w:rPr>
          <w:rFonts w:ascii="黑体" w:eastAsia="黑体"/>
          <w:b w:val="0"/>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2024年度收入总计500.66万元，其中：本年收入合计543.71万元，使用非财政拨款结余（含专用结余）0.00万元，年初结转和结余-43.05万元。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2024年度支出总计500.66万元，其中：本年支出合计543.71万元，结余分配0.00万元，年末结转和结余-43.05万元。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收入支出总体与上年相比，减少8.36万元，下降1.64%，主要原因是：2024年年末结转结余减少（弥补经营结余亏损），2024年减少一般公共预算项目-后勤服务工作成本性支出。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本年收入543.71万元，其中：财政拨款收入450.99万元,占82.95%；上级补助收入0.00万元,占0.00%；事业收入0.00万元，占0.00%；经营收入92.56万元,占17.02%；附属单位上缴收入0.00万元，占0.00%；其他收入0.16万元，占0.03%。</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本年支出543.71万元，其中：基本支出451.15万元，占82.98%；项目支出0.00万元，占0.00%；上缴上级支出0.00万元，占0.00%；经营支出92.56万元，占17.02%；对附属单位补助支出0.00万元，占0.00%。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2024年度财政拨款收入总计450.99万元，其中：年初财政拨款结转和结余0.00万元，本年财政拨款收入450.99万元。财政拨款支出总计450.99万元，其中：年末财政拨款结转和结余0.00万元，本年财政拨款支出450.99万元。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财政拨款收入支出总体与上年相比，减少15.96万元，下降3.42%，主要原因是：2024年减少后勤服务工作成本性</w:t>
      </w:r>
      <w:r>
        <w:rPr>
          <w:rFonts w:hint="eastAsia" w:ascii="仿宋_GB2312" w:eastAsia="仿宋_GB2312"/>
          <w:b w:val="0"/>
          <w:sz w:val="32"/>
          <w:szCs w:val="32"/>
          <w:lang w:eastAsia="zh-CN"/>
        </w:rPr>
        <w:t>项目</w:t>
      </w:r>
      <w:r>
        <w:rPr>
          <w:rFonts w:ascii="仿宋_GB2312" w:eastAsia="仿宋_GB2312"/>
          <w:b w:val="0"/>
          <w:sz w:val="32"/>
          <w:szCs w:val="32"/>
        </w:rPr>
        <w:t>支出</w:t>
      </w:r>
      <w:r>
        <w:rPr>
          <w:rFonts w:hint="eastAsia" w:ascii="仿宋_GB2312" w:eastAsia="仿宋_GB2312"/>
          <w:b w:val="0"/>
          <w:sz w:val="32"/>
          <w:szCs w:val="32"/>
          <w:lang w:eastAsia="zh-CN"/>
        </w:rPr>
        <w:t>及</w:t>
      </w:r>
      <w:r>
        <w:rPr>
          <w:rFonts w:ascii="仿宋_GB2312" w:eastAsia="仿宋_GB2312"/>
          <w:b w:val="0"/>
          <w:sz w:val="32"/>
          <w:szCs w:val="32"/>
        </w:rPr>
        <w:t>津贴补贴</w:t>
      </w:r>
      <w:r>
        <w:rPr>
          <w:rFonts w:hint="eastAsia" w:ascii="仿宋_GB2312" w:eastAsia="仿宋_GB2312"/>
          <w:b w:val="0"/>
          <w:sz w:val="32"/>
          <w:szCs w:val="32"/>
          <w:lang w:eastAsia="zh-CN"/>
        </w:rPr>
        <w:t>、</w:t>
      </w:r>
      <w:r>
        <w:rPr>
          <w:rFonts w:ascii="仿宋_GB2312" w:eastAsia="仿宋_GB2312"/>
          <w:b w:val="0"/>
          <w:sz w:val="32"/>
          <w:szCs w:val="32"/>
        </w:rPr>
        <w:t>职业年金</w:t>
      </w:r>
      <w:r>
        <w:rPr>
          <w:rFonts w:hint="eastAsia" w:ascii="仿宋_GB2312" w:eastAsia="仿宋_GB2312"/>
          <w:b w:val="0"/>
          <w:sz w:val="32"/>
          <w:szCs w:val="32"/>
          <w:lang w:eastAsia="zh-CN"/>
        </w:rPr>
        <w:t>和</w:t>
      </w:r>
      <w:r>
        <w:rPr>
          <w:rFonts w:ascii="仿宋_GB2312" w:eastAsia="仿宋_GB2312"/>
          <w:b w:val="0"/>
          <w:sz w:val="32"/>
          <w:szCs w:val="32"/>
        </w:rPr>
        <w:t>丧葬费抚恤金</w:t>
      </w:r>
      <w:r>
        <w:rPr>
          <w:rFonts w:hint="eastAsia" w:ascii="仿宋_GB2312" w:eastAsia="仿宋_GB2312"/>
          <w:b w:val="0"/>
          <w:sz w:val="32"/>
          <w:szCs w:val="32"/>
          <w:lang w:eastAsia="zh-CN"/>
        </w:rPr>
        <w:t>等人员经费</w:t>
      </w:r>
      <w:r>
        <w:rPr>
          <w:rFonts w:ascii="仿宋_GB2312" w:eastAsia="仿宋_GB2312"/>
          <w:b w:val="0"/>
          <w:sz w:val="32"/>
          <w:szCs w:val="32"/>
        </w:rPr>
        <w:t>。与年初预算相比，年初预算数408.14万元，决算数450.99万元，预决算差异率10.50%，主要原因是：2024年追加人员工资和年度考核奖、丧葬费和抚恤金、结亲交通费等。</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2024年度一般公共预算财政拨款支出450.99万元，占本年支出合计的82.95%。与上年相比，减少15.96万元，下降3.42%，主要原因是：</w:t>
      </w:r>
      <w:r>
        <w:rPr>
          <w:rFonts w:hint="default" w:ascii="仿宋_GB2312" w:eastAsia="仿宋_GB2312"/>
          <w:b w:val="0"/>
          <w:sz w:val="32"/>
          <w:szCs w:val="32"/>
          <w:lang w:val="en-US"/>
        </w:rPr>
        <w:t>2</w:t>
      </w:r>
      <w:r>
        <w:rPr>
          <w:rFonts w:ascii="仿宋_GB2312" w:eastAsia="仿宋_GB2312"/>
          <w:b w:val="0"/>
          <w:sz w:val="32"/>
          <w:szCs w:val="32"/>
        </w:rPr>
        <w:t>024年减少后勤服务工作成本性</w:t>
      </w:r>
      <w:r>
        <w:rPr>
          <w:rFonts w:hint="eastAsia" w:ascii="仿宋_GB2312" w:eastAsia="仿宋_GB2312"/>
          <w:b w:val="0"/>
          <w:sz w:val="32"/>
          <w:szCs w:val="32"/>
          <w:lang w:eastAsia="zh-CN"/>
        </w:rPr>
        <w:t>项目</w:t>
      </w:r>
      <w:r>
        <w:rPr>
          <w:rFonts w:ascii="仿宋_GB2312" w:eastAsia="仿宋_GB2312"/>
          <w:b w:val="0"/>
          <w:sz w:val="32"/>
          <w:szCs w:val="32"/>
        </w:rPr>
        <w:t>支出</w:t>
      </w:r>
      <w:r>
        <w:rPr>
          <w:rFonts w:hint="eastAsia" w:ascii="仿宋_GB2312" w:eastAsia="仿宋_GB2312"/>
          <w:b w:val="0"/>
          <w:sz w:val="32"/>
          <w:szCs w:val="32"/>
          <w:lang w:eastAsia="zh-CN"/>
        </w:rPr>
        <w:t>及</w:t>
      </w:r>
      <w:r>
        <w:rPr>
          <w:rFonts w:ascii="仿宋_GB2312" w:eastAsia="仿宋_GB2312"/>
          <w:b w:val="0"/>
          <w:sz w:val="32"/>
          <w:szCs w:val="32"/>
        </w:rPr>
        <w:t>津贴补贴</w:t>
      </w:r>
      <w:r>
        <w:rPr>
          <w:rFonts w:hint="eastAsia" w:ascii="仿宋_GB2312" w:eastAsia="仿宋_GB2312"/>
          <w:b w:val="0"/>
          <w:sz w:val="32"/>
          <w:szCs w:val="32"/>
          <w:lang w:eastAsia="zh-CN"/>
        </w:rPr>
        <w:t>、</w:t>
      </w:r>
      <w:r>
        <w:rPr>
          <w:rFonts w:ascii="仿宋_GB2312" w:eastAsia="仿宋_GB2312"/>
          <w:b w:val="0"/>
          <w:sz w:val="32"/>
          <w:szCs w:val="32"/>
        </w:rPr>
        <w:t>职业年金</w:t>
      </w:r>
      <w:r>
        <w:rPr>
          <w:rFonts w:hint="eastAsia" w:ascii="仿宋_GB2312" w:eastAsia="仿宋_GB2312"/>
          <w:b w:val="0"/>
          <w:sz w:val="32"/>
          <w:szCs w:val="32"/>
          <w:lang w:eastAsia="zh-CN"/>
        </w:rPr>
        <w:t>和</w:t>
      </w:r>
      <w:r>
        <w:rPr>
          <w:rFonts w:ascii="仿宋_GB2312" w:eastAsia="仿宋_GB2312"/>
          <w:b w:val="0"/>
          <w:sz w:val="32"/>
          <w:szCs w:val="32"/>
        </w:rPr>
        <w:t>丧葬费抚恤金</w:t>
      </w:r>
      <w:r>
        <w:rPr>
          <w:rFonts w:hint="eastAsia" w:ascii="仿宋_GB2312" w:eastAsia="仿宋_GB2312"/>
          <w:b w:val="0"/>
          <w:sz w:val="32"/>
          <w:szCs w:val="32"/>
          <w:lang w:eastAsia="zh-CN"/>
        </w:rPr>
        <w:t>等人员经费</w:t>
      </w:r>
      <w:r>
        <w:rPr>
          <w:rFonts w:ascii="仿宋_GB2312" w:eastAsia="仿宋_GB2312"/>
          <w:b w:val="0"/>
          <w:sz w:val="32"/>
          <w:szCs w:val="32"/>
        </w:rPr>
        <w:t>。与年初预算相比，年初预算数408.14万元，决算数450.99万元，预决算差异率10.50%，主要原因是：2024年追加人员工资和年度考核奖、丧葬费和抚恤金、结亲交通费等。</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科学技术支出（类）450.99万元，占100.00%。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科学技术支出（类）科学技术管理事务（款）机关服务（项）：支出决算数为450.99万元，比上年决算减少1.56万元，下降0.34%，主要原因是：事业单位改革，经费实行全额预算管理，2024年一般公共预算拨款支出减少职业年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2、科学技术支出（类）科学技术管理事务（款）其他科学技术管理事务支出（项）：支出决算数为0.00万元，比上年决算减少14.40万元，下降100.00%，主要原因是：2024年</w:t>
      </w:r>
      <w:r>
        <w:rPr>
          <w:rFonts w:hint="eastAsia" w:ascii="仿宋_GB2312" w:eastAsia="仿宋_GB2312"/>
          <w:b w:val="0"/>
          <w:sz w:val="32"/>
          <w:szCs w:val="32"/>
          <w:lang w:eastAsia="zh-CN"/>
        </w:rPr>
        <w:t>减少</w:t>
      </w:r>
      <w:r>
        <w:rPr>
          <w:rFonts w:ascii="仿宋_GB2312" w:eastAsia="仿宋_GB2312"/>
          <w:b w:val="0"/>
          <w:sz w:val="32"/>
          <w:szCs w:val="32"/>
        </w:rPr>
        <w:t>后勤服务工作成本性</w:t>
      </w:r>
      <w:r>
        <w:rPr>
          <w:rFonts w:hint="eastAsia" w:ascii="仿宋_GB2312" w:eastAsia="仿宋_GB2312"/>
          <w:b w:val="0"/>
          <w:sz w:val="32"/>
          <w:szCs w:val="32"/>
          <w:lang w:eastAsia="zh-CN"/>
        </w:rPr>
        <w:t>项目</w:t>
      </w:r>
      <w:r>
        <w:rPr>
          <w:rFonts w:ascii="仿宋_GB2312" w:eastAsia="仿宋_GB2312"/>
          <w:b w:val="0"/>
          <w:sz w:val="32"/>
          <w:szCs w:val="32"/>
        </w:rPr>
        <w:t>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450.99万元，其中：人员经费427.60万元，包括：基本工资、津贴补贴、奖金、绩效工资、机关事业单位基本养老保险缴费、职业年金缴费、职工基本医疗保险缴费、公务员医疗补助缴费、其他社会保障缴费、住房公积金、其他工资福利支出、退休费、抚恤金、奖励金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公用经费23.39万元，包括：办公费、水费、电费、邮电费、取暖费、物业管理费、差旅费、维修（护）费、委托业务费、工会经费、福利费、公务用车运行维护费和其他商品和服务支出。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1.02万元，比上年减少0.11万元，下降9.73%，主要原因是：厉行节约，压缩公务运行维护费支出。其中：因公出国（境）费支出0.00万元,占0.00%，与上年相比无变化，主要原因是：我单位</w:t>
      </w:r>
      <w:r>
        <w:rPr>
          <w:rFonts w:hint="eastAsia" w:ascii="仿宋_GB2312" w:eastAsia="仿宋_GB2312"/>
          <w:b w:val="0"/>
          <w:sz w:val="32"/>
          <w:szCs w:val="32"/>
          <w:lang w:val="en-US" w:eastAsia="zh-CN"/>
        </w:rPr>
        <w:t>2023年度与2024年度均未安排</w:t>
      </w:r>
      <w:r>
        <w:rPr>
          <w:rFonts w:ascii="仿宋_GB2312" w:eastAsia="仿宋_GB2312"/>
          <w:b w:val="0"/>
          <w:sz w:val="32"/>
          <w:szCs w:val="32"/>
        </w:rPr>
        <w:t>因公出国（境）费；公务用车购置及运行维护费支出1.02万元，占100.00%，比上年减少0.11万元，下降9.73%，主要原因是：厉行节约，压缩公务运行维护费支出；公务接待费支出0.00万元，占0.00%，与上年相比无变化，主要原因是：我单位</w:t>
      </w:r>
      <w:r>
        <w:rPr>
          <w:rFonts w:hint="eastAsia" w:ascii="仿宋_GB2312" w:eastAsia="仿宋_GB2312"/>
          <w:b w:val="0"/>
          <w:sz w:val="32"/>
          <w:szCs w:val="32"/>
          <w:lang w:val="en-US" w:eastAsia="zh-CN"/>
        </w:rPr>
        <w:t>2023年度与2024年度均未安排</w:t>
      </w:r>
      <w:r>
        <w:rPr>
          <w:rFonts w:ascii="仿宋_GB2312" w:eastAsia="仿宋_GB2312"/>
          <w:b w:val="0"/>
          <w:sz w:val="32"/>
          <w:szCs w:val="32"/>
        </w:rPr>
        <w:t>公务接待费。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1.02万元，其中：公务用车购置费0.00万元，公务用车运行维护费1.02万元。公务用车运行维护费开支内容包括燃料费、维修费、保险费、过桥过路费等。公务用车购置数0辆，公务用车保有量1辆。国有资产占用情况中固定资产车辆1辆，与公务用车保有量差异原因是：保持一致。</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公务接待费0.00万元，开支内容包括我单位无公务接待费。单位全年安排的国内公务接待0批次，0人次。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1.02万元，决算数1.02万元，预决算差异率0.00%，主要原因是：厉行节约，按预算执行。其中：因公出国（境）费全年预算数0.00万元，决算数0.00万元，预决算差异率0.00%，主要原因是：我单位</w:t>
      </w:r>
      <w:r>
        <w:rPr>
          <w:rFonts w:hint="eastAsia" w:ascii="仿宋_GB2312" w:eastAsia="仿宋_GB2312"/>
          <w:b w:val="0"/>
          <w:sz w:val="32"/>
          <w:szCs w:val="32"/>
          <w:lang w:val="en-US" w:eastAsia="zh-CN"/>
        </w:rPr>
        <w:t>2024年度未安排</w:t>
      </w:r>
      <w:r>
        <w:rPr>
          <w:rFonts w:ascii="仿宋_GB2312" w:eastAsia="仿宋_GB2312"/>
          <w:b w:val="0"/>
          <w:sz w:val="32"/>
          <w:szCs w:val="32"/>
        </w:rPr>
        <w:t>因公出国（境）费；公务用车购置费全年预算数0.00万元，决算数0.00万元，预决算差异率0.00%，主要原因是：我单位</w:t>
      </w:r>
      <w:r>
        <w:rPr>
          <w:rFonts w:hint="eastAsia" w:ascii="仿宋_GB2312" w:eastAsia="仿宋_GB2312"/>
          <w:b w:val="0"/>
          <w:sz w:val="32"/>
          <w:szCs w:val="32"/>
          <w:lang w:val="en-US" w:eastAsia="zh-CN"/>
        </w:rPr>
        <w:t>2024年度未安排</w:t>
      </w:r>
      <w:r>
        <w:rPr>
          <w:rFonts w:ascii="仿宋_GB2312" w:eastAsia="仿宋_GB2312"/>
          <w:b w:val="0"/>
          <w:sz w:val="32"/>
          <w:szCs w:val="32"/>
        </w:rPr>
        <w:t>公务用车购置费；公务用车运行维护费全年预算数1.02万元，决算数1.02万元，预决算差异率0.00%，主要原因是：厉行节约，按预算执行；公务接待费全年预算数0.00万元，决算数0.00万元，预决算差异率0.00%，主要原因是：我单位</w:t>
      </w:r>
      <w:r>
        <w:rPr>
          <w:rFonts w:hint="eastAsia" w:ascii="仿宋_GB2312" w:eastAsia="仿宋_GB2312"/>
          <w:b w:val="0"/>
          <w:sz w:val="32"/>
          <w:szCs w:val="32"/>
          <w:lang w:val="en-US" w:eastAsia="zh-CN"/>
        </w:rPr>
        <w:t>2024年度未安排</w:t>
      </w:r>
      <w:r>
        <w:rPr>
          <w:rFonts w:ascii="仿宋_GB2312" w:eastAsia="仿宋_GB2312"/>
          <w:b w:val="0"/>
          <w:sz w:val="32"/>
          <w:szCs w:val="32"/>
        </w:rPr>
        <w:t>公务接待费。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2024年度新疆维吾尔自治区科学技术厅机关服务中心单位（事业单位）公用经费支出23.39万元，比上年增加0.17万元，增长0.73%，主要原因是：</w:t>
      </w:r>
      <w:r>
        <w:rPr>
          <w:rFonts w:hint="eastAsia" w:ascii="仿宋_GB2312" w:eastAsia="仿宋_GB2312"/>
          <w:b w:val="0"/>
          <w:sz w:val="32"/>
          <w:szCs w:val="32"/>
          <w:lang w:eastAsia="zh-CN"/>
        </w:rPr>
        <w:t>我单位本年</w:t>
      </w:r>
      <w:r>
        <w:rPr>
          <w:rFonts w:ascii="仿宋_GB2312" w:eastAsia="仿宋_GB2312"/>
          <w:b w:val="0"/>
          <w:sz w:val="32"/>
          <w:szCs w:val="32"/>
        </w:rPr>
        <w:t>结亲交通费</w:t>
      </w:r>
      <w:r>
        <w:rPr>
          <w:rFonts w:hint="eastAsia" w:ascii="仿宋_GB2312" w:eastAsia="仿宋_GB2312"/>
          <w:b w:val="0"/>
          <w:sz w:val="32"/>
          <w:szCs w:val="32"/>
          <w:lang w:eastAsia="zh-CN"/>
        </w:rPr>
        <w:t>支出</w:t>
      </w:r>
      <w:r>
        <w:rPr>
          <w:rFonts w:ascii="仿宋_GB2312" w:eastAsia="仿宋_GB2312"/>
          <w:b w:val="0"/>
          <w:sz w:val="32"/>
          <w:szCs w:val="32"/>
        </w:rPr>
        <w:t>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2024年度政府采购支出总额3.12万元，其中：政府采购货物支出2.53万元、政府采购工程支出0.00万元、政府采购服务支出0.58万元。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授予中小企业合同金额2.97万元，占政府采购支出总额的95.19%，其中：授予小微企业合同金额2.72万元，占政府采购支出总额的87.18%。</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2,298.14平方米，价值261.00万元。车辆1辆，价值18.07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1个，全年预算数182.00万元，全年执行数92.56万元，预算绩效管理取得的成效：一是确保资金的高效使用，切实发挥资金的使用效果；二是严格按照工作职责和相关文件依据，确保专款专用；三是严格控制资金的流出方向，确保资金的合规性；发现的问题及原因：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财务上会计核算要更加详细，为本单位各项工作的开展、总结和评估提供有效数据资料支撑，为各项业务工作更好的开展提供帮助；从源头上强化对专项资金预算管理，实行专项资金预算管理，结合单位实际，按轻重缓急统筹安排编制预算，提高预算编制科学性和合理性，优化资金结构。具体附项目支出绩效自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w:t>
      </w:r>
      <w:r>
        <w:rPr>
          <w:rFonts w:hint="default" w:ascii="黑体" w:eastAsia="黑体"/>
          <w:b w:val="0"/>
          <w:sz w:val="32"/>
          <w:szCs w:val="32"/>
          <w:lang w:val="en-US"/>
        </w:rPr>
        <w:t xml:space="preserve"> </w:t>
      </w:r>
      <w:r>
        <w:rPr>
          <w:rFonts w:ascii="黑体" w:eastAsia="黑体"/>
          <w:b w:val="0"/>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w:t>
      </w:r>
      <w:r>
        <w:rPr>
          <w:rFonts w:hint="default" w:ascii="黑体" w:eastAsia="黑体"/>
          <w:b w:val="0"/>
          <w:sz w:val="32"/>
          <w:szCs w:val="32"/>
          <w:lang w:val="en-US"/>
        </w:rPr>
        <w:t xml:space="preserve"> </w:t>
      </w:r>
      <w:bookmarkStart w:id="0" w:name="_GoBack"/>
      <w:bookmarkEnd w:id="0"/>
      <w:r>
        <w:rPr>
          <w:rFonts w:ascii="黑体" w:eastAsia="黑体"/>
          <w:b w:val="0"/>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DF1EC3"/>
    <w:rsid w:val="2CAA0184"/>
    <w:rsid w:val="527A3814"/>
    <w:rsid w:val="6020064F"/>
    <w:rsid w:val="62ED5DE3"/>
    <w:rsid w:val="6FFC4E8D"/>
    <w:rsid w:val="737071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4887</Words>
  <Characters>5404</Characters>
  <TotalTime>8</TotalTime>
  <ScaleCrop>false</ScaleCrop>
  <LinksUpToDate>false</LinksUpToDate>
  <CharactersWithSpaces>5404</CharactersWithSpaces>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2025-08-20T03:59:00Z</dcterms:created>
  <dc:creator>Administrator</dc:creator>
  <cp:lastModifiedBy>Administrator</cp:lastModifiedBy>
  <dcterms:modified xsi:type="dcterms:W3CDTF">2025-08-26T09:25:35Z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34C38BA2F3434F0BA82AB5362BC85661</vt:lpwstr>
  </property>
  <property fmtid="{D5CDD505-2E9C-101B-9397-08002B2CF9AE}" pid="4" name="KSOTemplateDocerSaveRecord">
    <vt:lpwstr>eyJoZGlkIjoiYjc4YjViYjdkNjViZjg2NWU5ZTViYjVmMjRlZGEzYTUiLCJ1c2VySWQiOiI4OTc2NDY5NjgifQ==</vt:lpwstr>
  </property>
</Properties>
</file>