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center"/>
        <w:textAlignment w:val="auto"/>
        <w:outlineLvl w:val="0"/>
        <w:rPr>
          <w:rFonts w:ascii="宋体" w:eastAsia="黑体"/>
          <w:sz w:val="44"/>
          <w:szCs w:val="44"/>
        </w:rPr>
      </w:pPr>
      <w:r>
        <w:rPr>
          <w:rFonts w:ascii="宋体" w:eastAsia="黑体"/>
          <w:b w:val="0"/>
          <w:sz w:val="44"/>
          <w:szCs w:val="44"/>
        </w:rPr>
        <w:t>新疆维吾尔自治区科学技术厅</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atLeas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center"/>
        <w:textAlignment w:val="auto"/>
        <w:rPr>
          <w:rFonts w:ascii="黑体" w:eastAsia="黑体"/>
          <w:sz w:val="32"/>
          <w:szCs w:val="32"/>
        </w:rPr>
      </w:pPr>
      <w:r>
        <w:rPr>
          <w:rFonts w:ascii="黑体" w:eastAsia="黑体"/>
          <w:b/>
          <w:sz w:val="32"/>
          <w:szCs w:val="32"/>
        </w:rPr>
        <w:t>目录</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p>
      <w:pPr>
        <w:keepNext w:val="0"/>
        <w:keepLines w:val="0"/>
        <w:pageBreakBefore w:val="0"/>
        <w:widowControl/>
        <w:kinsoku/>
        <w:wordWrap/>
        <w:overflowPunct/>
        <w:topLinePunct w:val="0"/>
        <w:autoSpaceDE/>
        <w:autoSpaceDN/>
        <w:bidi w:val="0"/>
        <w:adjustRightInd/>
        <w:snapToGrid/>
        <w:spacing w:line="560" w:lineRule="atLeas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center"/>
        <w:textAlignment w:val="auto"/>
        <w:outlineLvl w:val="0"/>
        <w:rPr>
          <w:rFonts w:ascii="黑体" w:eastAsia="黑体"/>
          <w:sz w:val="32"/>
          <w:szCs w:val="32"/>
        </w:rPr>
      </w:pPr>
      <w:r>
        <w:rPr>
          <w:rFonts w:ascii="黑体" w:eastAsia="黑体"/>
          <w:b w:val="0"/>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eastAsia="zh-CN"/>
        </w:rPr>
        <w:t>“</w:t>
      </w:r>
      <w:r>
        <w:rPr>
          <w:rFonts w:ascii="仿宋_GB2312" w:eastAsia="仿宋_GB2312"/>
          <w:b w:val="0"/>
          <w:sz w:val="32"/>
          <w:szCs w:val="32"/>
        </w:rPr>
        <w:t>新疆维吾尔自治区科学技术厅-转制科研院所</w:t>
      </w:r>
      <w:r>
        <w:rPr>
          <w:rFonts w:hint="eastAsia" w:ascii="仿宋_GB2312" w:eastAsia="仿宋_GB2312"/>
          <w:b w:val="0"/>
          <w:sz w:val="32"/>
          <w:szCs w:val="32"/>
          <w:lang w:eastAsia="zh-CN"/>
        </w:rPr>
        <w:t>”</w:t>
      </w:r>
      <w:r>
        <w:rPr>
          <w:rFonts w:ascii="仿宋_GB2312" w:eastAsia="仿宋_GB2312"/>
          <w:b w:val="0"/>
          <w:sz w:val="32"/>
          <w:szCs w:val="32"/>
        </w:rPr>
        <w:t>构成：是由科技厅代编的9家技术开发类科研院所2005年12月31日以前办理完离退休手续的离退休人员经费。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新疆维吾尔自治区科学技术厅2024年度，实有人数535人，其中：在职人员0人，较上年无变化；离休人员6人，减少1人；退休人员529人，减少20人。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科学技术厅无下属预算单位，下设8个处室，分别是：新疆建筑科学研究院、新疆机械研究院股份有限公司、新疆电子研究所有限公司、新疆维吾尔自治区轻工业设计研究院、新疆化工设计研究院、新疆交通科学研究院、新疆维吾尔自治区风能研究所和新疆有色金属研究所。</w:t>
      </w:r>
    </w:p>
    <w:p>
      <w:pPr>
        <w:keepNext w:val="0"/>
        <w:keepLines w:val="0"/>
        <w:pageBreakBefore w:val="0"/>
        <w:widowControl/>
        <w:kinsoku/>
        <w:wordWrap/>
        <w:overflowPunct/>
        <w:topLinePunct w:val="0"/>
        <w:autoSpaceDE/>
        <w:autoSpaceDN/>
        <w:bidi w:val="0"/>
        <w:adjustRightInd/>
        <w:snapToGrid/>
        <w:spacing w:line="560" w:lineRule="atLeas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2024年度收入总计195,917.12万元，其中：本年收入合计195,917.12万元，使用非财政拨款结余（含专用结余）0.00万元，年初结转和结余0.00万元。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2024年度支出总计195,917.12万元，其中：本年支出合计195,917.12万元，结余分配0.00万元，年末结转和结余0.00万元。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收入支出总体与上年相比，增加78,289.38万元，增长66.56%，主要原因是：本年追加五大类科技计划项目经费，收入支出相比上年大幅增加。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本年收入195,917.12万元，其中：财政拨款收入195,917.12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本年支出195,917.12万元，其中：基本支出851.50万元，占0.43%；项目支出195,065.62万元，占99.57%；上缴上级支出0.00万元，占0.00%；经营支出0.00万元，占0.00%；对附属单位补助支出0.00万元，占0.00%。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195,917.12万元，其中：年初财政拨款结转和结余0.00万元，本年财政拨款收入195,917.12万元。财政拨款支出总计195,917.12万元，其中：年末财政拨款结转和结余0.00万元，本年财政拨款支出195,917.12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78,289.38万元，增长66.56%，主要原因是：本年追加五大类科技计划项目经费，收入支出相比上年大幅增加。与年初预算相比，年初预算数69,507.96万元，决算数195,917.12万元，预决算差异率181.86%，主要原因是：本年追加五大类科技计划项目经费，收入支出相比年初预算大幅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195,917.12万元，占本年支出合计的100.00%。与上年相比，增加78,289.38万元，增长66.56%，主要原因是：本年追加五大类科技计划项目经费，支出相比上年大幅增加。与年初预算相比，年初预算数69,507.96万元，决算数195,917.12万元，预决算差异率181.86%，主要原因是：本年追加五大类科技计划项目经费，支出相比年初预算大幅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科学技术支出（类）195,917.12万元，占100.00%。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1、科学技术支出（类）基础研究（款）自然科学基金（项）：支出决算数为8,626.90万元，比上年决算减少2,632.70万元，下降23.38%，主要原因是：本年追加五大类科技计划项目经费中自然科学基金结转至2025年支出，自然科学基金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2、科学技术支出（类）基础研究（款）实验室及相关设施（项）：支出决算数为17,905.00万元，比上年决算增加15,545.00万元，增长658.69%，主要原因是：本年追加五大类科技计划项目经费，实验室及相关设施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3、科学技术支出（类）基础研究（款）科技人才队伍建设（项）：支出决算数为19,707.67万元，比上年决算增加19,707.67万元，增长100.00%，主要原因是：本年追加人才基金项目经费，科技人才队伍建设支出增加。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4、科学技术支出（类）基础研究（款）其他基础研究支出（项）：支出决算数为2,015.00万元，比上年决算增加815.00万元，增长67.92%，主要原因是：本年追加五大类科技计划项目经费，其他基础研究支出增加。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5、科学技术支出（类）技术研究与开发（款）机构运行（项）：支出决算数为851.50万元，比上年决算减少769.94万元，下降47.48%，主要原因是：转制科研院所人员减少，机构运行费用相应减少。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6、科学技术支出（类）技术研究与开发（款）科技成果转化与扩散（项）：支出决算数为10,479.42万元，比上年决算减少4,461.08万元，下降29.86%，主要原因是：本年追加五大类科技计划项目经费中科技成果转化与扩散项目结转至2025年支出，科技成果转化与扩散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7、科学技术支出（类）技术研究与开发（款）其他技术研究与开发支出（项）：支出决算数为240.88万元，比上年决算减少20,699.96万元，下降98.85%，主要原因是：本年追加五大类科技计划项目经费中其他技术研究与开发支出结转至2025年支出，其他技术研究与开发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8、科学技术支出（类）科技条件与服务（款）技术创新服务体系（项）：支出决算数为1,349.00万元，比上年决算增加309.00万元，增长29.71%，主要原因是：本年追加五大类科技计划项目经费，技术创新服务体系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9、科学技术支出（类）科技条件与服务（款）科技条件专项（项）：支出决算数为0.00万元，比上年决算减少7,535.00万元，下降100.00%，主要原因是：2024年中央引导地方项目功能科目调整，科技条件专项支出减少。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10、科学技术支出（类）科学技术普及（款）科普活动（项）：支出决算数为291.00万元，比上年决算增加291.00万元，增长100.00%，主要原因是：本年支付上年结转重大科普活动工作经费，科普活动支出增加。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11、科学技术支出（类）科技交流与合作（款）国际交流与合作（项）：支出决算数为2,870.00万元，比上年决算增加708.00万元，增长32.75%，主要原因是：本年追加五大类科技计划项目经费，国际交流与合作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12、科学技术支出（类）科技交流与合作（款）其他科技交流与合作支出（项）：支出决算数为2,998.00万元，比上年决算减少531.17万元，下降15.05%，主要原因是：本年追加五大类科技计划项目经费中其他科技交流与合作支出结转至2025年支出，其他科技交流与合作支出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13、科学技术支出（类）科技重大项目（款）科技重大专项（项）：支出决算数为44,576.70万元，比上年决算增加26,783.00万元，增长150.52%，主要原因是：本年追加五大类科技计划项目经费，科技重大专项支出增加。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14、科学技术支出（类）科技重大项目（款）重点研发计划（项）：支出决算数为84,006.05万元，比上年决算增加50,760.56万元，增长152.68%，主要原因是：本年追加五大类科技计划项目经费，重点研发计划支出增加。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2024年度一般公共预算财政拨款基本支出851.50万元，其中：人员经费851.50万元，包括：离休费、退休费、抚恤金、生活补助和其他对个人和家庭的补助。</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公用经费0.00万元。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九、财政拨款</w:t>
      </w:r>
      <w:r>
        <w:rPr>
          <w:rFonts w:hint="eastAsia" w:ascii="黑体" w:eastAsia="黑体"/>
          <w:b w:val="0"/>
          <w:sz w:val="32"/>
          <w:szCs w:val="32"/>
          <w:lang w:eastAsia="zh-CN"/>
        </w:rPr>
        <w:t>“</w:t>
      </w:r>
      <w:r>
        <w:rPr>
          <w:rFonts w:ascii="黑体" w:eastAsia="黑体"/>
          <w:b w:val="0"/>
          <w:sz w:val="32"/>
          <w:szCs w:val="32"/>
        </w:rPr>
        <w:t>三公</w:t>
      </w:r>
      <w:r>
        <w:rPr>
          <w:rFonts w:hint="eastAsia" w:ascii="黑体" w:eastAsia="黑体"/>
          <w:b w:val="0"/>
          <w:sz w:val="32"/>
          <w:szCs w:val="32"/>
          <w:lang w:eastAsia="zh-CN"/>
        </w:rPr>
        <w:t>”</w:t>
      </w:r>
      <w:r>
        <w:rPr>
          <w:rFonts w:ascii="黑体" w:eastAsia="黑体"/>
          <w:b w:val="0"/>
          <w:sz w:val="32"/>
          <w:szCs w:val="32"/>
        </w:rPr>
        <w:t>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经费支出0.00万元，与上年相比无变化，主要原因是：</w:t>
      </w:r>
      <w:r>
        <w:rPr>
          <w:rFonts w:hint="eastAsia" w:ascii="仿宋_GB2312" w:eastAsia="仿宋_GB2312"/>
          <w:b w:val="0"/>
          <w:sz w:val="32"/>
          <w:szCs w:val="32"/>
          <w:lang w:eastAsia="zh-CN"/>
        </w:rPr>
        <w:t>本单位</w:t>
      </w:r>
      <w:r>
        <w:rPr>
          <w:rFonts w:hint="default" w:ascii="仿宋_GB2312" w:eastAsia="仿宋_GB2312"/>
          <w:b w:val="0"/>
          <w:sz w:val="32"/>
          <w:szCs w:val="32"/>
          <w:lang w:val="en-US"/>
        </w:rPr>
        <w:t>2023</w:t>
      </w:r>
      <w:r>
        <w:rPr>
          <w:rFonts w:hint="eastAsia" w:ascii="仿宋_GB2312" w:eastAsia="仿宋_GB2312"/>
          <w:b w:val="0"/>
          <w:sz w:val="32"/>
          <w:szCs w:val="32"/>
          <w:lang w:val="en-US" w:eastAsia="zh-CN"/>
        </w:rPr>
        <w:t>年度及</w:t>
      </w:r>
      <w:r>
        <w:rPr>
          <w:rFonts w:hint="default" w:ascii="仿宋_GB2312" w:eastAsia="仿宋_GB2312"/>
          <w:b w:val="0"/>
          <w:sz w:val="32"/>
          <w:szCs w:val="32"/>
          <w:lang w:val="en-US" w:eastAsia="zh-CN"/>
        </w:rPr>
        <w:t>2024</w:t>
      </w:r>
      <w:r>
        <w:rPr>
          <w:rFonts w:hint="eastAsia" w:ascii="仿宋_GB2312" w:eastAsia="仿宋_GB2312"/>
          <w:b w:val="0"/>
          <w:sz w:val="32"/>
          <w:szCs w:val="32"/>
          <w:lang w:val="en-US" w:eastAsia="zh-CN"/>
        </w:rPr>
        <w:t>年度均未安排</w:t>
      </w:r>
      <w:r>
        <w:rPr>
          <w:rFonts w:ascii="仿宋_GB2312" w:eastAsia="仿宋_GB2312"/>
          <w:b w:val="0"/>
          <w:sz w:val="32"/>
          <w:szCs w:val="32"/>
        </w:rPr>
        <w:t>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经费支出。其中：因公出国（境）费支出0.00万元,占0.00%，与上年相比无变化，主要原因是：</w:t>
      </w:r>
      <w:r>
        <w:rPr>
          <w:rFonts w:hint="eastAsia" w:ascii="仿宋_GB2312" w:eastAsia="仿宋_GB2312"/>
          <w:b w:val="0"/>
          <w:sz w:val="32"/>
          <w:szCs w:val="32"/>
          <w:lang w:eastAsia="zh-CN"/>
        </w:rPr>
        <w:t>本单位</w:t>
      </w:r>
      <w:r>
        <w:rPr>
          <w:rFonts w:hint="default" w:ascii="仿宋_GB2312" w:eastAsia="仿宋_GB2312"/>
          <w:b w:val="0"/>
          <w:sz w:val="32"/>
          <w:szCs w:val="32"/>
          <w:lang w:val="en-US"/>
        </w:rPr>
        <w:t>2023</w:t>
      </w:r>
      <w:r>
        <w:rPr>
          <w:rFonts w:hint="eastAsia" w:ascii="仿宋_GB2312" w:eastAsia="仿宋_GB2312"/>
          <w:b w:val="0"/>
          <w:sz w:val="32"/>
          <w:szCs w:val="32"/>
          <w:lang w:val="en-US" w:eastAsia="zh-CN"/>
        </w:rPr>
        <w:t>年度及</w:t>
      </w:r>
      <w:r>
        <w:rPr>
          <w:rFonts w:hint="default" w:ascii="仿宋_GB2312" w:eastAsia="仿宋_GB2312"/>
          <w:b w:val="0"/>
          <w:sz w:val="32"/>
          <w:szCs w:val="32"/>
          <w:lang w:val="en-US" w:eastAsia="zh-CN"/>
        </w:rPr>
        <w:t>2024</w:t>
      </w:r>
      <w:r>
        <w:rPr>
          <w:rFonts w:hint="eastAsia" w:ascii="仿宋_GB2312" w:eastAsia="仿宋_GB2312"/>
          <w:b w:val="0"/>
          <w:sz w:val="32"/>
          <w:szCs w:val="32"/>
          <w:lang w:val="en-US" w:eastAsia="zh-CN"/>
        </w:rPr>
        <w:t>年度均未安排</w:t>
      </w:r>
      <w:r>
        <w:rPr>
          <w:rFonts w:ascii="仿宋_GB2312" w:eastAsia="仿宋_GB2312"/>
          <w:b w:val="0"/>
          <w:sz w:val="32"/>
          <w:szCs w:val="32"/>
        </w:rPr>
        <w:t>因公出国（境）费支出；公务用车购置及运行维护费支出0.00万元，占0.00%，与上年相比无变化，主要原因是：</w:t>
      </w:r>
      <w:r>
        <w:rPr>
          <w:rFonts w:hint="eastAsia" w:ascii="仿宋_GB2312" w:eastAsia="仿宋_GB2312"/>
          <w:b w:val="0"/>
          <w:sz w:val="32"/>
          <w:szCs w:val="32"/>
          <w:lang w:eastAsia="zh-CN"/>
        </w:rPr>
        <w:t>本单位</w:t>
      </w:r>
      <w:r>
        <w:rPr>
          <w:rFonts w:hint="default" w:ascii="仿宋_GB2312" w:eastAsia="仿宋_GB2312"/>
          <w:b w:val="0"/>
          <w:sz w:val="32"/>
          <w:szCs w:val="32"/>
          <w:lang w:val="en-US"/>
        </w:rPr>
        <w:t>2023</w:t>
      </w:r>
      <w:r>
        <w:rPr>
          <w:rFonts w:hint="eastAsia" w:ascii="仿宋_GB2312" w:eastAsia="仿宋_GB2312"/>
          <w:b w:val="0"/>
          <w:sz w:val="32"/>
          <w:szCs w:val="32"/>
          <w:lang w:val="en-US" w:eastAsia="zh-CN"/>
        </w:rPr>
        <w:t>年度及</w:t>
      </w:r>
      <w:r>
        <w:rPr>
          <w:rFonts w:hint="default" w:ascii="仿宋_GB2312" w:eastAsia="仿宋_GB2312"/>
          <w:b w:val="0"/>
          <w:sz w:val="32"/>
          <w:szCs w:val="32"/>
          <w:lang w:val="en-US" w:eastAsia="zh-CN"/>
        </w:rPr>
        <w:t>2024</w:t>
      </w:r>
      <w:r>
        <w:rPr>
          <w:rFonts w:hint="eastAsia" w:ascii="仿宋_GB2312" w:eastAsia="仿宋_GB2312"/>
          <w:b w:val="0"/>
          <w:sz w:val="32"/>
          <w:szCs w:val="32"/>
          <w:lang w:val="en-US" w:eastAsia="zh-CN"/>
        </w:rPr>
        <w:t>年度均未安排</w:t>
      </w:r>
      <w:r>
        <w:rPr>
          <w:rFonts w:ascii="仿宋_GB2312" w:eastAsia="仿宋_GB2312"/>
          <w:b w:val="0"/>
          <w:sz w:val="32"/>
          <w:szCs w:val="32"/>
        </w:rPr>
        <w:t>公务用车购置及运行维护费支出；公务接待费支出0.00万元，占0.00%，与上年相比无变化，主要原因是：</w:t>
      </w:r>
      <w:r>
        <w:rPr>
          <w:rFonts w:hint="eastAsia" w:ascii="仿宋_GB2312" w:eastAsia="仿宋_GB2312"/>
          <w:b w:val="0"/>
          <w:sz w:val="32"/>
          <w:szCs w:val="32"/>
          <w:lang w:eastAsia="zh-CN"/>
        </w:rPr>
        <w:t>本单位</w:t>
      </w:r>
      <w:r>
        <w:rPr>
          <w:rFonts w:hint="default" w:ascii="仿宋_GB2312" w:eastAsia="仿宋_GB2312"/>
          <w:b w:val="0"/>
          <w:sz w:val="32"/>
          <w:szCs w:val="32"/>
          <w:lang w:val="en-US"/>
        </w:rPr>
        <w:t>2023</w:t>
      </w:r>
      <w:r>
        <w:rPr>
          <w:rFonts w:hint="eastAsia" w:ascii="仿宋_GB2312" w:eastAsia="仿宋_GB2312"/>
          <w:b w:val="0"/>
          <w:sz w:val="32"/>
          <w:szCs w:val="32"/>
          <w:lang w:val="en-US" w:eastAsia="zh-CN"/>
        </w:rPr>
        <w:t>年度及</w:t>
      </w:r>
      <w:r>
        <w:rPr>
          <w:rFonts w:hint="default" w:ascii="仿宋_GB2312" w:eastAsia="仿宋_GB2312"/>
          <w:b w:val="0"/>
          <w:sz w:val="32"/>
          <w:szCs w:val="32"/>
          <w:lang w:val="en-US" w:eastAsia="zh-CN"/>
        </w:rPr>
        <w:t>2024</w:t>
      </w:r>
      <w:r>
        <w:rPr>
          <w:rFonts w:hint="eastAsia" w:ascii="仿宋_GB2312" w:eastAsia="仿宋_GB2312"/>
          <w:b w:val="0"/>
          <w:sz w:val="32"/>
          <w:szCs w:val="32"/>
          <w:lang w:val="en-US" w:eastAsia="zh-CN"/>
        </w:rPr>
        <w:t>年度均未安排</w:t>
      </w:r>
      <w:r>
        <w:rPr>
          <w:rFonts w:ascii="仿宋_GB2312" w:eastAsia="仿宋_GB2312"/>
          <w:b w:val="0"/>
          <w:sz w:val="32"/>
          <w:szCs w:val="32"/>
        </w:rPr>
        <w:t>公务接待费支出。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无因公出国（境）费支出。单位全年安排的因公出国（境）团组0个，因公出国（境）0人次。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lang w:eastAsia="zh-CN"/>
        </w:rPr>
        <w:t>本单位</w:t>
      </w:r>
      <w:r>
        <w:rPr>
          <w:rFonts w:ascii="仿宋_GB2312" w:eastAsia="仿宋_GB2312"/>
          <w:b w:val="0"/>
          <w:sz w:val="32"/>
          <w:szCs w:val="32"/>
        </w:rPr>
        <w:t>无公务用车运行维护费支出。公务用车购置数0辆，公务用车保有量0辆。国有资产占用情况中固定资产车辆0辆，与公务用车保有量差异原因是：</w:t>
      </w:r>
      <w:r>
        <w:rPr>
          <w:rFonts w:hint="eastAsia" w:ascii="仿宋_GB2312" w:eastAsia="仿宋_GB2312"/>
          <w:b w:val="0"/>
          <w:sz w:val="32"/>
          <w:szCs w:val="32"/>
          <w:lang w:eastAsia="zh-CN"/>
        </w:rPr>
        <w:t>本单位</w:t>
      </w:r>
      <w:r>
        <w:rPr>
          <w:rFonts w:ascii="仿宋_GB2312" w:eastAsia="仿宋_GB2312"/>
          <w:b w:val="0"/>
          <w:sz w:val="32"/>
          <w:szCs w:val="32"/>
        </w:rPr>
        <w:t>公务用车保有量无差异。</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本单位</w:t>
      </w:r>
      <w:r>
        <w:rPr>
          <w:rFonts w:ascii="仿宋_GB2312" w:eastAsia="仿宋_GB2312"/>
          <w:b w:val="0"/>
          <w:sz w:val="32"/>
          <w:szCs w:val="32"/>
        </w:rPr>
        <w:t>无公务接待费支出。单位全年安排的国内公务接待0批次，0人次。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无财政拨款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经费支出。其中：因公出国（境）费全年预算数0.00万元，决算数0.00万元，预决算差异率0.00%，主要原因是：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无因公出国（境）费；公务用车购置费全年预算数0.00万元，决算数0.00万元，预决算差异率0.00%，主要原因是：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无公务用车购置费；公务用车运行维护费全年预算数0.00万元，决算数0.00万元，预决算差异率0.00%，主要原因是：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无公务用车运行维护费；公务接待费全年预算数0.00万元，决算数0.00万元，预决算差异率0.00%，主要原因是：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无公务接待费。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outlineLvl w:val="2"/>
        <w:rPr>
          <w:rFonts w:ascii="黑体" w:eastAsia="黑体"/>
          <w:b/>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b w:val="0"/>
          <w:sz w:val="32"/>
          <w:szCs w:val="32"/>
          <w:lang w:eastAsia="zh-CN"/>
        </w:rPr>
      </w:pPr>
      <w:r>
        <w:rPr>
          <w:rFonts w:ascii="仿宋_GB2312" w:eastAsia="仿宋_GB2312"/>
          <w:b w:val="0"/>
          <w:sz w:val="32"/>
          <w:szCs w:val="32"/>
          <w:lang w:eastAsia="zh-CN"/>
        </w:rPr>
        <w:t>2024年度新疆维吾尔自治区科学技术厅单位​（事业单位）公用经费支出0.00万元，与上年相比无变化，主要原因是：转制科研院所均为退休人员，无公用经费支出。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2024年度政府采购支出总额0.00万元，其中：政府采购货物支出0.00万元、政府采购工程支出0.00万元、政府采购服务支出0.00万元。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授予中小企业合同金额0.00万元，占政府采购支出总额的0.00%，其中：授予小微企业合同金额0.00万元，占政府采购支出总额的0.00%。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bookmarkStart w:id="0" w:name="_GoBack"/>
      <w:bookmarkEnd w:id="0"/>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b w:val="0"/>
          <w:sz w:val="32"/>
          <w:szCs w:val="32"/>
          <w:lang w:eastAsia="zh-CN"/>
        </w:rPr>
        <w:t>本单位</w:t>
      </w:r>
      <w:r>
        <w:rPr>
          <w:rFonts w:ascii="仿宋_GB2312" w:eastAsia="仿宋_GB2312"/>
          <w:b w:val="0"/>
          <w:sz w:val="32"/>
          <w:szCs w:val="32"/>
        </w:rPr>
        <w:t>无其他用车;单价100万元（含）以上设备（不含车辆）0台。</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21个，全年预算数166,484.06万元，全年执行数157,442.04万元。预算绩效管理取得的成效：一是完善管理制度。研究制定《自治区科技计划项目监督管理办法》，修订《自治区科技计划项目管理办法》《自治区科技计划项目管理办法实施细则（暂行）》，进一步完善科技计划项目管理工作，提升财政资金使用效益。二是创新科技计划项目形成机制。2024年邀请百余名院士及区外专家参与重点产业集群科技创新报告以及编制</w:t>
      </w:r>
      <w:r>
        <w:rPr>
          <w:rFonts w:hint="eastAsia" w:ascii="仿宋_GB2312" w:eastAsia="仿宋_GB2312"/>
          <w:b w:val="0"/>
          <w:sz w:val="32"/>
          <w:szCs w:val="32"/>
          <w:lang w:eastAsia="zh-CN"/>
        </w:rPr>
        <w:t>“</w:t>
      </w:r>
      <w:r>
        <w:rPr>
          <w:rFonts w:ascii="仿宋_GB2312" w:eastAsia="仿宋_GB2312"/>
          <w:b w:val="0"/>
          <w:sz w:val="32"/>
          <w:szCs w:val="32"/>
        </w:rPr>
        <w:t>自治区重大科技专项</w:t>
      </w:r>
      <w:r>
        <w:rPr>
          <w:rFonts w:hint="eastAsia" w:ascii="仿宋_GB2312" w:eastAsia="仿宋_GB2312"/>
          <w:b w:val="0"/>
          <w:sz w:val="32"/>
          <w:szCs w:val="32"/>
          <w:lang w:eastAsia="zh-CN"/>
        </w:rPr>
        <w:t>”</w:t>
      </w:r>
      <w:r>
        <w:rPr>
          <w:rFonts w:ascii="仿宋_GB2312" w:eastAsia="仿宋_GB2312"/>
          <w:b w:val="0"/>
          <w:sz w:val="32"/>
          <w:szCs w:val="32"/>
        </w:rPr>
        <w:t>和</w:t>
      </w:r>
      <w:r>
        <w:rPr>
          <w:rFonts w:hint="eastAsia" w:ascii="仿宋_GB2312" w:eastAsia="仿宋_GB2312"/>
          <w:b w:val="0"/>
          <w:sz w:val="32"/>
          <w:szCs w:val="32"/>
          <w:lang w:eastAsia="zh-CN"/>
        </w:rPr>
        <w:t>“</w:t>
      </w:r>
      <w:r>
        <w:rPr>
          <w:rFonts w:ascii="仿宋_GB2312" w:eastAsia="仿宋_GB2312"/>
          <w:b w:val="0"/>
          <w:sz w:val="32"/>
          <w:szCs w:val="32"/>
        </w:rPr>
        <w:t>自治区重点研发项目专项</w:t>
      </w:r>
      <w:r>
        <w:rPr>
          <w:rFonts w:hint="eastAsia" w:ascii="仿宋_GB2312" w:eastAsia="仿宋_GB2312"/>
          <w:b w:val="0"/>
          <w:sz w:val="32"/>
          <w:szCs w:val="32"/>
          <w:lang w:eastAsia="zh-CN"/>
        </w:rPr>
        <w:t>”</w:t>
      </w:r>
      <w:r>
        <w:rPr>
          <w:rFonts w:ascii="仿宋_GB2312" w:eastAsia="仿宋_GB2312"/>
          <w:b w:val="0"/>
          <w:sz w:val="32"/>
          <w:szCs w:val="32"/>
        </w:rPr>
        <w:t>申报指南，指南中明确提出项目关键技术指标。建立从基础研究、应用基础研究、技术攻关、成果转化等科技项目一体化全链条实施机制。三是优化科技计划体系。开展自治区科技计划体系评估工作，对五大类科技计划实施情况进行全面梳理、摸底分析，研究制定《自治区科技计划体系优化方案》，进一步明确五大类科技计划的功能定位，加强各类科技计划的衔接统筹，优化创新资源配置，提升财政科技资金使用绩效。发现的问题及原因：一是预算执行存在偏差。由于个别项目指标下达时间较晚，在预算执行中造成预算子项调剂现象；对个别项目资金使用方面预算不够细致，出现实际支出数超出了预算申报数或出现项目资金结余数额多的情况。二是预算绩效管理水平仍有欠缺。在2024年预算绩效管理工作中，存在</w:t>
      </w:r>
      <w:r>
        <w:rPr>
          <w:rFonts w:hint="eastAsia" w:ascii="仿宋_GB2312" w:eastAsia="仿宋_GB2312"/>
          <w:b w:val="0"/>
          <w:sz w:val="32"/>
          <w:szCs w:val="32"/>
          <w:lang w:eastAsia="zh-CN"/>
        </w:rPr>
        <w:t>“</w:t>
      </w:r>
      <w:r>
        <w:rPr>
          <w:rFonts w:ascii="仿宋_GB2312" w:eastAsia="仿宋_GB2312"/>
          <w:b w:val="0"/>
          <w:sz w:val="32"/>
          <w:szCs w:val="32"/>
        </w:rPr>
        <w:t>重投入轻管理、重支出轻绩效</w:t>
      </w:r>
      <w:r>
        <w:rPr>
          <w:rFonts w:hint="eastAsia" w:ascii="仿宋_GB2312" w:eastAsia="仿宋_GB2312"/>
          <w:b w:val="0"/>
          <w:sz w:val="32"/>
          <w:szCs w:val="32"/>
          <w:lang w:eastAsia="zh-CN"/>
        </w:rPr>
        <w:t>”</w:t>
      </w:r>
      <w:r>
        <w:rPr>
          <w:rFonts w:ascii="仿宋_GB2312" w:eastAsia="仿宋_GB2312"/>
          <w:b w:val="0"/>
          <w:sz w:val="32"/>
          <w:szCs w:val="32"/>
        </w:rPr>
        <w:t>的情况，对全面实施预算绩效管理的要求认识还不到位，项目申报、实施等环节与预算绩效管理各个环节联系不够紧密；同时预算绩效管理工作中，面对专业人手不足、绩效管理水平欠缺的情况下，坚持</w:t>
      </w:r>
      <w:r>
        <w:rPr>
          <w:rFonts w:hint="eastAsia" w:ascii="仿宋_GB2312" w:eastAsia="仿宋_GB2312"/>
          <w:b w:val="0"/>
          <w:sz w:val="32"/>
          <w:szCs w:val="32"/>
          <w:lang w:eastAsia="zh-CN"/>
        </w:rPr>
        <w:t>“</w:t>
      </w:r>
      <w:r>
        <w:rPr>
          <w:rFonts w:ascii="仿宋_GB2312" w:eastAsia="仿宋_GB2312"/>
          <w:b w:val="0"/>
          <w:sz w:val="32"/>
          <w:szCs w:val="32"/>
        </w:rPr>
        <w:t>滚石上山</w:t>
      </w:r>
      <w:r>
        <w:rPr>
          <w:rFonts w:hint="eastAsia" w:ascii="仿宋_GB2312" w:eastAsia="仿宋_GB2312"/>
          <w:b w:val="0"/>
          <w:sz w:val="32"/>
          <w:szCs w:val="32"/>
          <w:lang w:eastAsia="zh-CN"/>
        </w:rPr>
        <w:t>”</w:t>
      </w:r>
      <w:r>
        <w:rPr>
          <w:rFonts w:ascii="仿宋_GB2312" w:eastAsia="仿宋_GB2312"/>
          <w:b w:val="0"/>
          <w:sz w:val="32"/>
          <w:szCs w:val="32"/>
        </w:rPr>
        <w:t>，提升的空间还是很大。三是部分绩效指标设定不够科学合理。项目绩效指标在设定时过于笼统，不易操作，在项目实际执行过程中该指标的代表性不强，考核指标与项目总体目标结合性不强，在项目自评是对于该指标的评价打分不够客观。四是绩效监控考核与实际落实的结合力度不够。对于绩效目标的实现来说，过程管理的管理和监控是相当重要的，缺失了过程的控制，只是在绩效周期结束的时候，才关注绩效进行打分，错过了执行过程中的改进机会，在问题出现时再补救就失去了绩效监控考核的意义。下一步改进措施：一是抓好绩效目标编制。按照自治区财政厅对预算编制的要求，及时下达预算编制任务，分解细化各项工作。科学编制科技厅及归口预算单位年初预算申报项目绩效目标表和科技厅2024年整体部门绩效目标表，进一步规范了收支行为，强化了预算约束和对预算的管理与监督。二是保障绩效监控全覆盖。及时跟踪项目进度，对项目实施中存在的具体问题及时采取纠偏措施；按照时间节点，开展预算执行监控预警，2024年5月、8月分别开展科技厅及归口管理预算单位所有项目支出绩效监控，实现项目支出绩效监控全覆盖。三是狠抓监控结果应用。强化绩效监控结果分析，对绩效监控结果标记为</w:t>
      </w:r>
      <w:r>
        <w:rPr>
          <w:rFonts w:hint="eastAsia" w:ascii="仿宋_GB2312" w:eastAsia="仿宋_GB2312"/>
          <w:b w:val="0"/>
          <w:sz w:val="32"/>
          <w:szCs w:val="32"/>
          <w:lang w:eastAsia="zh-CN"/>
        </w:rPr>
        <w:t>“</w:t>
      </w:r>
      <w:r>
        <w:rPr>
          <w:rFonts w:ascii="仿宋_GB2312" w:eastAsia="仿宋_GB2312"/>
          <w:b w:val="0"/>
          <w:sz w:val="32"/>
          <w:szCs w:val="32"/>
        </w:rPr>
        <w:t>红标</w:t>
      </w:r>
      <w:r>
        <w:rPr>
          <w:rFonts w:hint="eastAsia" w:ascii="仿宋_GB2312" w:eastAsia="仿宋_GB2312"/>
          <w:b w:val="0"/>
          <w:sz w:val="32"/>
          <w:szCs w:val="32"/>
          <w:lang w:eastAsia="zh-CN"/>
        </w:rPr>
        <w:t>”</w:t>
      </w:r>
      <w:r>
        <w:rPr>
          <w:rFonts w:ascii="仿宋_GB2312" w:eastAsia="仿宋_GB2312"/>
          <w:b w:val="0"/>
          <w:sz w:val="32"/>
          <w:szCs w:val="32"/>
        </w:rPr>
        <w:t>的项目认真分析偏差原因，采取切实有力措施进行整改，督促项目按进度组织实施，保障绩效目标如期实现。四是加强预算执行进度。2024年6月，8月对归口管理预算单位的预算执行情况进行排名，形成比学赶超的良好氛围；及时组织部门预算培训工作，安排部署预算管理和经费使用工作，对资金使用滞后的相关单位进行提醒。同时，将资金使用进度与公益性科研院所基本科研业务费分配挂钩，削减了执行进度垫底单位的年度经费，并对其他执行进度过缓的单位进行通报，进一步提高部门整体预算执行率。五是落实评价公开制度。认真对照年初制定的绩效目标，强化责任落实，逐项评价项目实施效果，综合衡量预算资金产出效益，加强对绩效评价结果运用，形成财政资金评价报告，作为下年度项目资金申请的重要依据。及时开展科技厅2023年部门决算、2024年部门预算及</w:t>
      </w:r>
      <w:r>
        <w:rPr>
          <w:rFonts w:hint="eastAsia" w:ascii="仿宋_GB2312" w:eastAsia="仿宋_GB2312"/>
          <w:b w:val="0"/>
          <w:sz w:val="32"/>
          <w:szCs w:val="32"/>
          <w:lang w:eastAsia="zh-CN"/>
        </w:rPr>
        <w:t>“</w:t>
      </w:r>
      <w:r>
        <w:rPr>
          <w:rFonts w:ascii="仿宋_GB2312" w:eastAsia="仿宋_GB2312"/>
          <w:b w:val="0"/>
          <w:sz w:val="32"/>
          <w:szCs w:val="32"/>
        </w:rPr>
        <w:t>三公经费</w:t>
      </w:r>
      <w:r>
        <w:rPr>
          <w:rFonts w:hint="eastAsia" w:ascii="仿宋_GB2312" w:eastAsia="仿宋_GB2312"/>
          <w:b w:val="0"/>
          <w:sz w:val="32"/>
          <w:szCs w:val="32"/>
          <w:lang w:eastAsia="zh-CN"/>
        </w:rPr>
        <w:t>”</w:t>
      </w:r>
      <w:r>
        <w:rPr>
          <w:rFonts w:ascii="仿宋_GB2312" w:eastAsia="仿宋_GB2312"/>
          <w:b w:val="0"/>
          <w:sz w:val="32"/>
          <w:szCs w:val="32"/>
        </w:rPr>
        <w:t>信息公开等工作，有效提高了预算公开和绩效工作质量。具体附项目支出绩效自评表。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default"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val="en-US" w:eastAsia="zh-CN"/>
        </w:rPr>
        <w:t>年度本单位政府采购支出总额为</w:t>
      </w:r>
      <w:r>
        <w:rPr>
          <w:rFonts w:hint="default"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lang w:val="en-US" w:eastAsia="zh-CN"/>
        </w:rPr>
        <w:t>万元，授予中小企业合同金额、授予小微企业合同金额</w:t>
      </w:r>
      <w:r>
        <w:rPr>
          <w:rFonts w:hint="default"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lang w:val="en-US" w:eastAsia="zh-CN"/>
        </w:rPr>
        <w:t>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pPr>
      <w:r>
        <w:rPr>
          <w:rFonts w:hint="eastAsia" w:ascii="仿宋_GB2312" w:hAnsi="仿宋_GB2312" w:eastAsia="仿宋_GB2312" w:cs="仿宋_GB2312"/>
          <w:color w:val="auto"/>
          <w:kern w:val="0"/>
          <w:sz w:val="32"/>
          <w:szCs w:val="32"/>
          <w:highlight w:val="none"/>
          <w:lang w:val="en-US" w:eastAsia="zh-CN"/>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w:t>
      </w:r>
      <w:r>
        <w:rPr>
          <w:rFonts w:hint="eastAsia" w:ascii="仿宋_GB2312" w:eastAsia="仿宋_GB2312"/>
          <w:b w:val="0"/>
          <w:sz w:val="32"/>
          <w:szCs w:val="32"/>
          <w:lang w:eastAsia="zh-CN"/>
        </w:rPr>
        <w:t>“</w:t>
      </w:r>
      <w:r>
        <w:rPr>
          <w:rFonts w:ascii="仿宋_GB2312" w:eastAsia="仿宋_GB2312"/>
          <w:b w:val="0"/>
          <w:sz w:val="32"/>
          <w:szCs w:val="32"/>
        </w:rPr>
        <w:t>财政拨款收入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事业收入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经营收入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附属单位上缴收入</w:t>
      </w:r>
      <w:r>
        <w:rPr>
          <w:rFonts w:hint="eastAsia" w:ascii="仿宋_GB2312" w:eastAsia="仿宋_GB2312"/>
          <w:b w:val="0"/>
          <w:sz w:val="32"/>
          <w:szCs w:val="32"/>
          <w:lang w:eastAsia="zh-CN"/>
        </w:rPr>
        <w:t>”</w:t>
      </w:r>
      <w:r>
        <w:rPr>
          <w:rFonts w:ascii="仿宋_GB2312" w:eastAsia="仿宋_GB2312"/>
          <w:b w:val="0"/>
          <w:sz w:val="32"/>
          <w:szCs w:val="32"/>
        </w:rPr>
        <w:t>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十三、</w:t>
      </w:r>
      <w:r>
        <w:rPr>
          <w:rFonts w:hint="eastAsia" w:ascii="仿宋_GB2312" w:eastAsia="仿宋_GB2312"/>
          <w:b/>
          <w:sz w:val="32"/>
          <w:szCs w:val="32"/>
          <w:lang w:eastAsia="zh-CN"/>
        </w:rPr>
        <w:t>“</w:t>
      </w:r>
      <w:r>
        <w:rPr>
          <w:rFonts w:ascii="仿宋_GB2312" w:eastAsia="仿宋_GB2312"/>
          <w:b/>
          <w:sz w:val="32"/>
          <w:szCs w:val="32"/>
        </w:rPr>
        <w:t>三公</w:t>
      </w:r>
      <w:r>
        <w:rPr>
          <w:rFonts w:hint="eastAsia" w:ascii="仿宋_GB2312" w:eastAsia="仿宋_GB2312"/>
          <w:b/>
          <w:sz w:val="32"/>
          <w:szCs w:val="32"/>
          <w:lang w:eastAsia="zh-CN"/>
        </w:rPr>
        <w:t>”</w:t>
      </w:r>
      <w:r>
        <w:rPr>
          <w:rFonts w:ascii="仿宋_GB2312" w:eastAsia="仿宋_GB2312"/>
          <w:b/>
          <w:sz w:val="32"/>
          <w:szCs w:val="32"/>
        </w:rPr>
        <w:t>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atLeas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12D53767"/>
    <w:rsid w:val="408636B3"/>
    <w:rsid w:val="444D2969"/>
    <w:rsid w:val="51A95B6A"/>
    <w:rsid w:val="7F2A54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2025-08-21T08:56:00Z</dcterms:created>
  <dc:creator>Administrator</dc:creator>
  <cp:lastModifiedBy>Administrator</cp:lastModifiedBy>
  <dcterms:modified xsi:type="dcterms:W3CDTF">2025-08-25T11:17:46Z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44F586254044468CB54700698E6BA33E</vt:lpwstr>
  </property>
</Properties>
</file>