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bookmarkStart w:id="0" w:name="_GoBack"/>
      <w:bookmarkEnd w:id="0"/>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2024年自治区区域协同创新专项</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新疆维吾尔自治区科学技术厅资源配置与管理处</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新疆维吾尔自治区科学技术厅资源配置与管理处</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张海涛</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2025年03月20日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1.项目背景</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自治区区域协同创新专项，设有自治区区域协同创新专项-科技援疆计划项目、上海合作组织科技伙伴计划及国际科技合作计划，其中：科技援疆计划项目主要围绕自治区对科技创新工作的总体要求，聚焦新疆“十大产业集群”建设和地方特色产业，发挥“大科技”援疆格局优势，引导区内外高校、科研院所、企业的交流合作，促进新技术、新资源、新成果在新疆转化应用和产业化发展；上海合作组织科技伙伴计划及国际科技合作计划以推进“一港、两区、五大中心和口岸经济带”建设，加快建设丝绸之路经济带核心区为主线，立足新发展阶段，贯彻新发展理念，积极融入国家国际科技合作总体布局，聚焦新疆重大战略任务和“十大产业集群”发展的科技需求，聚焦自治区科技创新“十四五”规划的主要任务，以科技创新领域交流合作为先导，加强同丝绸之路经济带沿线国家特别是新疆周边国家开展科技创新合作，全面塑造发展新优势，助推我区经济社会高质量发展。上海合作组织科技伙伴计划及国际科技合作计划（以下简称“上合计划”）秉持互利共赢的合作理念，坚持问题导向、需求导向、目标导向，深入贯彻国家“一带一路”科技创新行动计划，加快建设丝绸之路经济带核心区为主线，立足新发展阶段，贯彻新发展理念，积极融入国家国际科技合作总体布局，聚焦新疆重大战略任务和八大产业集群发展的科技需求，聚焦自治区科技创新“十四五”规划的主要任务，以科技创新领域交流合作为先导，加强同丝绸之路经济带沿线国家特别是新疆周边国家开展科技创新合作，全面塑造发展新优势，助推我区经济社会高质量发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2.主要内容及实施情况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自治区区域协同创新专项-科技援疆计划项目主要用于支持新疆的高校、科研院所、企事业单位与中央和全国省市（自治区）的高校、科研院所、企事业单位合作在新疆开展的研究开发与成果转化项目。2024年新立项64项，其中农业领域23项，社会发展领域27项，工业领域6项，数字经济和创新平台建设领域8项；上年度结转项目74项。</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自治区区域协同创新专项—上海合作组织科技伙伴计划及国际科技合作计划围绕重点任务和目标，面向“一带一路”沿线国家特别是上海合作组织成员国等，支持在农业、生态环境、气候变化、碳达峰碳中和、矿产资源、新能源、新材料、装备制造、电子信息、生物医药、人口健康、灾害风险防控等领域，开展关键技术的联合研发与示范，建设国际科技合作平台和基地；按照双（多）边政府间科技合作协定（协议）要求、落实国家外交承诺、自治区重点国际合作任务等工作部署的相关项目。2024年结转项目53项（全为2022年度结转项目），主要涉及8个领域，其中人口与健康8项、农业9项、平台建设5项、生态环境7项、生物技术5项、能源8项、数理2项、材料9项。</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3.资金投入和使用情况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2024年共下达项目经费3000万元，全部为本级财政资金，截至12月底该项目实际支付3000万元，支付完成率100%。</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2024年度通过项目实施实现以下目标：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项目支出绩效自评表</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项目名称</w:t>
      </w:r>
      <w:r>
        <w:rPr>
          <w:rStyle w:val="18"/>
          <w:rFonts w:hint="eastAsia" w:ascii="楷体" w:hAnsi="楷体" w:eastAsia="楷体"/>
          <w:spacing w:val="-4"/>
          <w:sz w:val="32"/>
          <w:szCs w:val="32"/>
        </w:rPr>
        <w:tab/>
        <w:t>自治区区域协同创新专项</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主管部门</w:t>
      </w:r>
      <w:r>
        <w:rPr>
          <w:rStyle w:val="18"/>
          <w:rFonts w:hint="eastAsia" w:ascii="楷体" w:hAnsi="楷体" w:eastAsia="楷体"/>
          <w:spacing w:val="-4"/>
          <w:sz w:val="32"/>
          <w:szCs w:val="32"/>
        </w:rPr>
        <w:tab/>
        <w:t>自治区科技厅</w:t>
      </w:r>
      <w:r>
        <w:rPr>
          <w:rStyle w:val="18"/>
          <w:rFonts w:hint="eastAsia" w:ascii="楷体" w:hAnsi="楷体" w:eastAsia="楷体"/>
          <w:spacing w:val="-4"/>
          <w:sz w:val="32"/>
          <w:szCs w:val="32"/>
        </w:rPr>
        <w:tab/>
        <w:t>项目负责人</w:t>
      </w:r>
      <w:r>
        <w:rPr>
          <w:rStyle w:val="18"/>
          <w:rFonts w:hint="eastAsia" w:ascii="楷体" w:hAnsi="楷体" w:eastAsia="楷体"/>
          <w:spacing w:val="-4"/>
          <w:sz w:val="32"/>
          <w:szCs w:val="32"/>
        </w:rPr>
        <w:tab/>
        <w:t>张宝义</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项目资金</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（万元）</w:t>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年初预算数</w:t>
      </w:r>
      <w:r>
        <w:rPr>
          <w:rStyle w:val="18"/>
          <w:rFonts w:hint="eastAsia" w:ascii="楷体" w:hAnsi="楷体" w:eastAsia="楷体"/>
          <w:spacing w:val="-4"/>
          <w:sz w:val="32"/>
          <w:szCs w:val="32"/>
        </w:rPr>
        <w:tab/>
        <w:t>全年执行数</w:t>
      </w:r>
      <w:r>
        <w:rPr>
          <w:rStyle w:val="18"/>
          <w:rFonts w:hint="eastAsia" w:ascii="楷体" w:hAnsi="楷体" w:eastAsia="楷体"/>
          <w:spacing w:val="-4"/>
          <w:sz w:val="32"/>
          <w:szCs w:val="32"/>
        </w:rPr>
        <w:tab/>
        <w:t>分值</w:t>
      </w:r>
      <w:r>
        <w:rPr>
          <w:rStyle w:val="18"/>
          <w:rFonts w:hint="eastAsia" w:ascii="楷体" w:hAnsi="楷体" w:eastAsia="楷体"/>
          <w:spacing w:val="-4"/>
          <w:sz w:val="32"/>
          <w:szCs w:val="32"/>
        </w:rPr>
        <w:tab/>
        <w:t>执行率</w:t>
      </w:r>
      <w:r>
        <w:rPr>
          <w:rStyle w:val="18"/>
          <w:rFonts w:hint="eastAsia" w:ascii="楷体" w:hAnsi="楷体" w:eastAsia="楷体"/>
          <w:spacing w:val="-4"/>
          <w:sz w:val="32"/>
          <w:szCs w:val="32"/>
        </w:rPr>
        <w:tab/>
        <w:t>得分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年度资金总额</w:t>
      </w:r>
      <w:r>
        <w:rPr>
          <w:rStyle w:val="18"/>
          <w:rFonts w:hint="eastAsia" w:ascii="楷体" w:hAnsi="楷体" w:eastAsia="楷体"/>
          <w:spacing w:val="-4"/>
          <w:sz w:val="32"/>
          <w:szCs w:val="32"/>
        </w:rPr>
        <w:tab/>
        <w:t>3000</w:t>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10</w:t>
      </w:r>
      <w:r>
        <w:rPr>
          <w:rStyle w:val="18"/>
          <w:rFonts w:hint="eastAsia" w:ascii="楷体" w:hAnsi="楷体" w:eastAsia="楷体"/>
          <w:spacing w:val="-4"/>
          <w:sz w:val="32"/>
          <w:szCs w:val="32"/>
        </w:rPr>
        <w:tab/>
        <w:t>100%</w:t>
      </w:r>
      <w:r>
        <w:rPr>
          <w:rStyle w:val="18"/>
          <w:rFonts w:hint="eastAsia" w:ascii="楷体" w:hAnsi="楷体" w:eastAsia="楷体"/>
          <w:spacing w:val="-4"/>
          <w:sz w:val="32"/>
          <w:szCs w:val="32"/>
        </w:rPr>
        <w:tab/>
        <w:t>10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其中：当年财政拨款</w:t>
      </w:r>
      <w:r>
        <w:rPr>
          <w:rStyle w:val="18"/>
          <w:rFonts w:hint="eastAsia" w:ascii="楷体" w:hAnsi="楷体" w:eastAsia="楷体"/>
          <w:spacing w:val="-4"/>
          <w:sz w:val="32"/>
          <w:szCs w:val="32"/>
        </w:rPr>
        <w:tab/>
        <w:t>3000</w:t>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10</w:t>
      </w:r>
      <w:r>
        <w:rPr>
          <w:rStyle w:val="18"/>
          <w:rFonts w:hint="eastAsia" w:ascii="楷体" w:hAnsi="楷体" w:eastAsia="楷体"/>
          <w:spacing w:val="-4"/>
          <w:sz w:val="32"/>
          <w:szCs w:val="32"/>
        </w:rPr>
        <w:tab/>
        <w:t>100%</w:t>
      </w:r>
      <w:r>
        <w:rPr>
          <w:rStyle w:val="18"/>
          <w:rFonts w:hint="eastAsia" w:ascii="楷体" w:hAnsi="楷体" w:eastAsia="楷体"/>
          <w:spacing w:val="-4"/>
          <w:sz w:val="32"/>
          <w:szCs w:val="32"/>
        </w:rPr>
        <w:tab/>
        <w:t>10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 xml:space="preserve">  其他资金</w:t>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年度总体目标</w:t>
      </w:r>
      <w:r>
        <w:rPr>
          <w:rStyle w:val="18"/>
          <w:rFonts w:hint="eastAsia" w:ascii="楷体" w:hAnsi="楷体" w:eastAsia="楷体"/>
          <w:spacing w:val="-4"/>
          <w:sz w:val="32"/>
          <w:szCs w:val="32"/>
        </w:rPr>
        <w:tab/>
        <w:t xml:space="preserve">援疆方面：以自治区产业发展需求为导向，鼓励具备科研优势的高校、院所、企业等申报主体，充分发挥援疆省市特色产业及技术优势，促进优质成果在新疆的转移转化，有效促进新疆地区特色产业发展及技术水平提升。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国合方面：围绕重点任务和目标，加大国际科技交流合作工作力度，促进与中亚及我区周边国家相关机构的科技人文交流，在国际科技合作人文领域等方面择优支持一批项目，以激发科研人员的积极性创造性为核心，培养高层次和基层人员，提升优质科技成果转化水平，提高开发应用新产品、新技术、新品种的能力，有效促进新疆地区特色产业发展及技术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一级指标</w:t>
      </w:r>
      <w:r>
        <w:rPr>
          <w:rStyle w:val="18"/>
          <w:rFonts w:hint="eastAsia" w:ascii="楷体" w:hAnsi="楷体" w:eastAsia="楷体"/>
          <w:spacing w:val="-4"/>
          <w:sz w:val="32"/>
          <w:szCs w:val="32"/>
        </w:rPr>
        <w:tab/>
        <w:t>二级指标</w:t>
      </w:r>
      <w:r>
        <w:rPr>
          <w:rStyle w:val="18"/>
          <w:rFonts w:hint="eastAsia" w:ascii="楷体" w:hAnsi="楷体" w:eastAsia="楷体"/>
          <w:spacing w:val="-4"/>
          <w:sz w:val="32"/>
          <w:szCs w:val="32"/>
        </w:rPr>
        <w:tab/>
        <w:t>三级指标</w:t>
      </w:r>
      <w:r>
        <w:rPr>
          <w:rStyle w:val="18"/>
          <w:rFonts w:hint="eastAsia" w:ascii="楷体" w:hAnsi="楷体" w:eastAsia="楷体"/>
          <w:spacing w:val="-4"/>
          <w:sz w:val="32"/>
          <w:szCs w:val="32"/>
        </w:rPr>
        <w:tab/>
        <w:t>权重</w:t>
      </w:r>
      <w:r>
        <w:rPr>
          <w:rStyle w:val="18"/>
          <w:rFonts w:hint="eastAsia" w:ascii="楷体" w:hAnsi="楷体" w:eastAsia="楷体"/>
          <w:spacing w:val="-4"/>
          <w:sz w:val="32"/>
          <w:szCs w:val="32"/>
        </w:rPr>
        <w:tab/>
        <w:t>目标值</w:t>
      </w:r>
      <w:r>
        <w:rPr>
          <w:rStyle w:val="18"/>
          <w:rFonts w:hint="eastAsia" w:ascii="楷体" w:hAnsi="楷体" w:eastAsia="楷体"/>
          <w:spacing w:val="-4"/>
          <w:sz w:val="32"/>
          <w:szCs w:val="32"/>
        </w:rPr>
        <w:tab/>
        <w:t>完成值</w:t>
      </w:r>
      <w:r>
        <w:rPr>
          <w:rStyle w:val="18"/>
          <w:rFonts w:hint="eastAsia" w:ascii="楷体" w:hAnsi="楷体" w:eastAsia="楷体"/>
          <w:spacing w:val="-4"/>
          <w:sz w:val="32"/>
          <w:szCs w:val="32"/>
        </w:rPr>
        <w:tab/>
        <w:t>完成率</w:t>
      </w:r>
      <w:r>
        <w:rPr>
          <w:rStyle w:val="18"/>
          <w:rFonts w:hint="eastAsia" w:ascii="楷体" w:hAnsi="楷体" w:eastAsia="楷体"/>
          <w:spacing w:val="-4"/>
          <w:sz w:val="32"/>
          <w:szCs w:val="32"/>
        </w:rPr>
        <w:tab/>
        <w:t>指标得分</w:t>
      </w:r>
      <w:r>
        <w:rPr>
          <w:rStyle w:val="18"/>
          <w:rFonts w:hint="eastAsia" w:ascii="楷体" w:hAnsi="楷体" w:eastAsia="楷体"/>
          <w:spacing w:val="-4"/>
          <w:sz w:val="32"/>
          <w:szCs w:val="32"/>
        </w:rPr>
        <w:tab/>
        <w:t>指标值设定依据</w:t>
      </w:r>
      <w:r>
        <w:rPr>
          <w:rStyle w:val="18"/>
          <w:rFonts w:hint="eastAsia" w:ascii="楷体" w:hAnsi="楷体" w:eastAsia="楷体"/>
          <w:spacing w:val="-4"/>
          <w:sz w:val="32"/>
          <w:szCs w:val="32"/>
        </w:rPr>
        <w:tab/>
        <w:t>上年完成情况</w:t>
      </w:r>
      <w:r>
        <w:rPr>
          <w:rStyle w:val="18"/>
          <w:rFonts w:hint="eastAsia" w:ascii="楷体" w:hAnsi="楷体" w:eastAsia="楷体"/>
          <w:spacing w:val="-4"/>
          <w:sz w:val="32"/>
          <w:szCs w:val="32"/>
        </w:rPr>
        <w:tab/>
        <w:t>赋分规则</w:t>
      </w:r>
      <w:r>
        <w:rPr>
          <w:rStyle w:val="18"/>
          <w:rFonts w:hint="eastAsia" w:ascii="楷体" w:hAnsi="楷体" w:eastAsia="楷体"/>
          <w:spacing w:val="-4"/>
          <w:sz w:val="32"/>
          <w:szCs w:val="32"/>
        </w:rPr>
        <w:tab/>
        <w:t>佐证资料</w:t>
      </w:r>
      <w:r>
        <w:rPr>
          <w:rStyle w:val="18"/>
          <w:rFonts w:hint="eastAsia" w:ascii="楷体" w:hAnsi="楷体" w:eastAsia="楷体"/>
          <w:spacing w:val="-4"/>
          <w:sz w:val="32"/>
          <w:szCs w:val="32"/>
        </w:rPr>
        <w:tab/>
        <w:t>偏差原因分析及改进措施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年度绩效指标完成情况</w:t>
      </w:r>
      <w:r>
        <w:rPr>
          <w:rStyle w:val="18"/>
          <w:rFonts w:hint="eastAsia" w:ascii="楷体" w:hAnsi="楷体" w:eastAsia="楷体"/>
          <w:spacing w:val="-4"/>
          <w:sz w:val="32"/>
          <w:szCs w:val="32"/>
        </w:rPr>
        <w:tab/>
        <w:t>产出指标</w:t>
      </w:r>
      <w:r>
        <w:rPr>
          <w:rStyle w:val="18"/>
          <w:rFonts w:hint="eastAsia" w:ascii="楷体" w:hAnsi="楷体" w:eastAsia="楷体"/>
          <w:spacing w:val="-4"/>
          <w:sz w:val="32"/>
          <w:szCs w:val="32"/>
        </w:rPr>
        <w:tab/>
        <w:t>数量指标</w:t>
      </w:r>
      <w:r>
        <w:rPr>
          <w:rStyle w:val="18"/>
          <w:rFonts w:hint="eastAsia" w:ascii="楷体" w:hAnsi="楷体" w:eastAsia="楷体"/>
          <w:spacing w:val="-4"/>
          <w:sz w:val="32"/>
          <w:szCs w:val="32"/>
        </w:rPr>
        <w:tab/>
        <w:t>推广转化应用新技术数量</w:t>
      </w:r>
      <w:r>
        <w:rPr>
          <w:rStyle w:val="18"/>
          <w:rFonts w:hint="eastAsia" w:ascii="楷体" w:hAnsi="楷体" w:eastAsia="楷体"/>
          <w:spacing w:val="-4"/>
          <w:sz w:val="32"/>
          <w:szCs w:val="32"/>
        </w:rPr>
        <w:tab/>
        <w:t>9</w:t>
      </w:r>
      <w:r>
        <w:rPr>
          <w:rStyle w:val="18"/>
          <w:rFonts w:hint="eastAsia" w:ascii="楷体" w:hAnsi="楷体" w:eastAsia="楷体"/>
          <w:spacing w:val="-4"/>
          <w:sz w:val="32"/>
          <w:szCs w:val="32"/>
        </w:rPr>
        <w:tab/>
        <w:t>&gt;=35项</w:t>
      </w:r>
      <w:r>
        <w:rPr>
          <w:rStyle w:val="18"/>
          <w:rFonts w:hint="eastAsia" w:ascii="楷体" w:hAnsi="楷体" w:eastAsia="楷体"/>
          <w:spacing w:val="-4"/>
          <w:sz w:val="32"/>
          <w:szCs w:val="32"/>
        </w:rPr>
        <w:tab/>
        <w:t>35</w:t>
      </w:r>
      <w:r>
        <w:rPr>
          <w:rStyle w:val="18"/>
          <w:rFonts w:hint="eastAsia" w:ascii="楷体" w:hAnsi="楷体" w:eastAsia="楷体"/>
          <w:spacing w:val="-4"/>
          <w:sz w:val="32"/>
          <w:szCs w:val="32"/>
        </w:rPr>
        <w:tab/>
        <w:t>100%</w:t>
      </w:r>
      <w:r>
        <w:rPr>
          <w:rStyle w:val="18"/>
          <w:rFonts w:hint="eastAsia" w:ascii="楷体" w:hAnsi="楷体" w:eastAsia="楷体"/>
          <w:spacing w:val="-4"/>
          <w:sz w:val="32"/>
          <w:szCs w:val="32"/>
        </w:rPr>
        <w:tab/>
        <w:t>9</w:t>
      </w:r>
      <w:r>
        <w:rPr>
          <w:rStyle w:val="18"/>
          <w:rFonts w:hint="eastAsia" w:ascii="楷体" w:hAnsi="楷体" w:eastAsia="楷体"/>
          <w:spacing w:val="-4"/>
          <w:sz w:val="32"/>
          <w:szCs w:val="32"/>
        </w:rPr>
        <w:tab/>
        <w:t>计划标准</w:t>
      </w:r>
      <w:r>
        <w:rPr>
          <w:rStyle w:val="18"/>
          <w:rFonts w:hint="eastAsia" w:ascii="楷体" w:hAnsi="楷体" w:eastAsia="楷体"/>
          <w:spacing w:val="-4"/>
          <w:sz w:val="32"/>
          <w:szCs w:val="32"/>
        </w:rPr>
        <w:tab/>
        <w:t>-</w:t>
      </w:r>
      <w:r>
        <w:rPr>
          <w:rStyle w:val="18"/>
          <w:rFonts w:hint="eastAsia" w:ascii="楷体" w:hAnsi="楷体" w:eastAsia="楷体"/>
          <w:spacing w:val="-4"/>
          <w:sz w:val="32"/>
          <w:szCs w:val="32"/>
        </w:rPr>
        <w:tab/>
        <w:t>按照完成比例赋分</w:t>
      </w:r>
      <w:r>
        <w:rPr>
          <w:rStyle w:val="18"/>
          <w:rFonts w:hint="eastAsia" w:ascii="楷体" w:hAnsi="楷体" w:eastAsia="楷体"/>
          <w:spacing w:val="-4"/>
          <w:sz w:val="32"/>
          <w:szCs w:val="32"/>
        </w:rPr>
        <w:tab/>
        <w:t>工作资料</w:t>
      </w:r>
      <w:r>
        <w:rPr>
          <w:rStyle w:val="18"/>
          <w:rFonts w:hint="eastAsia" w:ascii="楷体" w:hAnsi="楷体" w:eastAsia="楷体"/>
          <w:spacing w:val="-4"/>
          <w:sz w:val="32"/>
          <w:szCs w:val="32"/>
        </w:rPr>
        <w:tab/>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培养高层次人才</w:t>
      </w:r>
      <w:r>
        <w:rPr>
          <w:rStyle w:val="18"/>
          <w:rFonts w:hint="eastAsia" w:ascii="楷体" w:hAnsi="楷体" w:eastAsia="楷体"/>
          <w:spacing w:val="-4"/>
          <w:sz w:val="32"/>
          <w:szCs w:val="32"/>
        </w:rPr>
        <w:tab/>
        <w:t>9</w:t>
      </w:r>
      <w:r>
        <w:rPr>
          <w:rStyle w:val="18"/>
          <w:rFonts w:hint="eastAsia" w:ascii="楷体" w:hAnsi="楷体" w:eastAsia="楷体"/>
          <w:spacing w:val="-4"/>
          <w:sz w:val="32"/>
          <w:szCs w:val="32"/>
        </w:rPr>
        <w:tab/>
        <w:t>&gt;=27人</w:t>
      </w:r>
      <w:r>
        <w:rPr>
          <w:rStyle w:val="18"/>
          <w:rFonts w:hint="eastAsia" w:ascii="楷体" w:hAnsi="楷体" w:eastAsia="楷体"/>
          <w:spacing w:val="-4"/>
          <w:sz w:val="32"/>
          <w:szCs w:val="32"/>
        </w:rPr>
        <w:tab/>
        <w:t>27</w:t>
      </w:r>
      <w:r>
        <w:rPr>
          <w:rStyle w:val="18"/>
          <w:rFonts w:hint="eastAsia" w:ascii="楷体" w:hAnsi="楷体" w:eastAsia="楷体"/>
          <w:spacing w:val="-4"/>
          <w:sz w:val="32"/>
          <w:szCs w:val="32"/>
        </w:rPr>
        <w:tab/>
        <w:t>100%</w:t>
      </w:r>
      <w:r>
        <w:rPr>
          <w:rStyle w:val="18"/>
          <w:rFonts w:hint="eastAsia" w:ascii="楷体" w:hAnsi="楷体" w:eastAsia="楷体"/>
          <w:spacing w:val="-4"/>
          <w:sz w:val="32"/>
          <w:szCs w:val="32"/>
        </w:rPr>
        <w:tab/>
        <w:t>9</w:t>
      </w:r>
      <w:r>
        <w:rPr>
          <w:rStyle w:val="18"/>
          <w:rFonts w:hint="eastAsia" w:ascii="楷体" w:hAnsi="楷体" w:eastAsia="楷体"/>
          <w:spacing w:val="-4"/>
          <w:sz w:val="32"/>
          <w:szCs w:val="32"/>
        </w:rPr>
        <w:tab/>
        <w:t>计划标准</w:t>
      </w:r>
      <w:r>
        <w:rPr>
          <w:rStyle w:val="18"/>
          <w:rFonts w:hint="eastAsia" w:ascii="楷体" w:hAnsi="楷体" w:eastAsia="楷体"/>
          <w:spacing w:val="-4"/>
          <w:sz w:val="32"/>
          <w:szCs w:val="32"/>
        </w:rPr>
        <w:tab/>
        <w:t>-</w:t>
      </w:r>
      <w:r>
        <w:rPr>
          <w:rStyle w:val="18"/>
          <w:rFonts w:hint="eastAsia" w:ascii="楷体" w:hAnsi="楷体" w:eastAsia="楷体"/>
          <w:spacing w:val="-4"/>
          <w:sz w:val="32"/>
          <w:szCs w:val="32"/>
        </w:rPr>
        <w:tab/>
        <w:t>按照完成比例赋分</w:t>
      </w:r>
      <w:r>
        <w:rPr>
          <w:rStyle w:val="18"/>
          <w:rFonts w:hint="eastAsia" w:ascii="楷体" w:hAnsi="楷体" w:eastAsia="楷体"/>
          <w:spacing w:val="-4"/>
          <w:sz w:val="32"/>
          <w:szCs w:val="32"/>
        </w:rPr>
        <w:tab/>
        <w:t>工作资料</w:t>
      </w:r>
      <w:r>
        <w:rPr>
          <w:rStyle w:val="18"/>
          <w:rFonts w:hint="eastAsia" w:ascii="楷体" w:hAnsi="楷体" w:eastAsia="楷体"/>
          <w:spacing w:val="-4"/>
          <w:sz w:val="32"/>
          <w:szCs w:val="32"/>
        </w:rPr>
        <w:tab/>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培养技术人员数</w:t>
      </w:r>
      <w:r>
        <w:rPr>
          <w:rStyle w:val="18"/>
          <w:rFonts w:hint="eastAsia" w:ascii="楷体" w:hAnsi="楷体" w:eastAsia="楷体"/>
          <w:spacing w:val="-4"/>
          <w:sz w:val="32"/>
          <w:szCs w:val="32"/>
        </w:rPr>
        <w:tab/>
        <w:t>8</w:t>
      </w:r>
      <w:r>
        <w:rPr>
          <w:rStyle w:val="18"/>
          <w:rFonts w:hint="eastAsia" w:ascii="楷体" w:hAnsi="楷体" w:eastAsia="楷体"/>
          <w:spacing w:val="-4"/>
          <w:sz w:val="32"/>
          <w:szCs w:val="32"/>
        </w:rPr>
        <w:tab/>
        <w:t>&gt;=110人</w:t>
      </w:r>
      <w:r>
        <w:rPr>
          <w:rStyle w:val="18"/>
          <w:rFonts w:hint="eastAsia" w:ascii="楷体" w:hAnsi="楷体" w:eastAsia="楷体"/>
          <w:spacing w:val="-4"/>
          <w:sz w:val="32"/>
          <w:szCs w:val="32"/>
        </w:rPr>
        <w:tab/>
        <w:t>110</w:t>
      </w:r>
      <w:r>
        <w:rPr>
          <w:rStyle w:val="18"/>
          <w:rFonts w:hint="eastAsia" w:ascii="楷体" w:hAnsi="楷体" w:eastAsia="楷体"/>
          <w:spacing w:val="-4"/>
          <w:sz w:val="32"/>
          <w:szCs w:val="32"/>
        </w:rPr>
        <w:tab/>
        <w:t>100%</w:t>
      </w:r>
      <w:r>
        <w:rPr>
          <w:rStyle w:val="18"/>
          <w:rFonts w:hint="eastAsia" w:ascii="楷体" w:hAnsi="楷体" w:eastAsia="楷体"/>
          <w:spacing w:val="-4"/>
          <w:sz w:val="32"/>
          <w:szCs w:val="32"/>
        </w:rPr>
        <w:tab/>
        <w:t>8</w:t>
      </w:r>
      <w:r>
        <w:rPr>
          <w:rStyle w:val="18"/>
          <w:rFonts w:hint="eastAsia" w:ascii="楷体" w:hAnsi="楷体" w:eastAsia="楷体"/>
          <w:spacing w:val="-4"/>
          <w:sz w:val="32"/>
          <w:szCs w:val="32"/>
        </w:rPr>
        <w:tab/>
        <w:t>计划标准</w:t>
      </w:r>
      <w:r>
        <w:rPr>
          <w:rStyle w:val="18"/>
          <w:rFonts w:hint="eastAsia" w:ascii="楷体" w:hAnsi="楷体" w:eastAsia="楷体"/>
          <w:spacing w:val="-4"/>
          <w:sz w:val="32"/>
          <w:szCs w:val="32"/>
        </w:rPr>
        <w:tab/>
        <w:t>-</w:t>
      </w:r>
      <w:r>
        <w:rPr>
          <w:rStyle w:val="18"/>
          <w:rFonts w:hint="eastAsia" w:ascii="楷体" w:hAnsi="楷体" w:eastAsia="楷体"/>
          <w:spacing w:val="-4"/>
          <w:sz w:val="32"/>
          <w:szCs w:val="32"/>
        </w:rPr>
        <w:tab/>
        <w:t>按照完成比例赋分</w:t>
      </w:r>
      <w:r>
        <w:rPr>
          <w:rStyle w:val="18"/>
          <w:rFonts w:hint="eastAsia" w:ascii="楷体" w:hAnsi="楷体" w:eastAsia="楷体"/>
          <w:spacing w:val="-4"/>
          <w:sz w:val="32"/>
          <w:szCs w:val="32"/>
        </w:rPr>
        <w:tab/>
        <w:t>工作资料</w:t>
      </w:r>
      <w:r>
        <w:rPr>
          <w:rStyle w:val="18"/>
          <w:rFonts w:hint="eastAsia" w:ascii="楷体" w:hAnsi="楷体" w:eastAsia="楷体"/>
          <w:spacing w:val="-4"/>
          <w:sz w:val="32"/>
          <w:szCs w:val="32"/>
        </w:rPr>
        <w:tab/>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开展各类培训</w:t>
      </w:r>
      <w:r>
        <w:rPr>
          <w:rStyle w:val="18"/>
          <w:rFonts w:hint="eastAsia" w:ascii="楷体" w:hAnsi="楷体" w:eastAsia="楷体"/>
          <w:spacing w:val="-4"/>
          <w:sz w:val="32"/>
          <w:szCs w:val="32"/>
        </w:rPr>
        <w:tab/>
        <w:t>8</w:t>
      </w:r>
      <w:r>
        <w:rPr>
          <w:rStyle w:val="18"/>
          <w:rFonts w:hint="eastAsia" w:ascii="楷体" w:hAnsi="楷体" w:eastAsia="楷体"/>
          <w:spacing w:val="-4"/>
          <w:sz w:val="32"/>
          <w:szCs w:val="32"/>
        </w:rPr>
        <w:tab/>
        <w:t>&gt;=25场次</w:t>
      </w:r>
      <w:r>
        <w:rPr>
          <w:rStyle w:val="18"/>
          <w:rFonts w:hint="eastAsia" w:ascii="楷体" w:hAnsi="楷体" w:eastAsia="楷体"/>
          <w:spacing w:val="-4"/>
          <w:sz w:val="32"/>
          <w:szCs w:val="32"/>
        </w:rPr>
        <w:tab/>
        <w:t>26</w:t>
      </w:r>
      <w:r>
        <w:rPr>
          <w:rStyle w:val="18"/>
          <w:rFonts w:hint="eastAsia" w:ascii="楷体" w:hAnsi="楷体" w:eastAsia="楷体"/>
          <w:spacing w:val="-4"/>
          <w:sz w:val="32"/>
          <w:szCs w:val="32"/>
        </w:rPr>
        <w:tab/>
        <w:t>104%</w:t>
      </w:r>
      <w:r>
        <w:rPr>
          <w:rStyle w:val="18"/>
          <w:rFonts w:hint="eastAsia" w:ascii="楷体" w:hAnsi="楷体" w:eastAsia="楷体"/>
          <w:spacing w:val="-4"/>
          <w:sz w:val="32"/>
          <w:szCs w:val="32"/>
        </w:rPr>
        <w:tab/>
        <w:t>7.68</w:t>
      </w:r>
      <w:r>
        <w:rPr>
          <w:rStyle w:val="18"/>
          <w:rFonts w:hint="eastAsia" w:ascii="楷体" w:hAnsi="楷体" w:eastAsia="楷体"/>
          <w:spacing w:val="-4"/>
          <w:sz w:val="32"/>
          <w:szCs w:val="32"/>
        </w:rPr>
        <w:tab/>
        <w:t>计划标准</w:t>
      </w:r>
      <w:r>
        <w:rPr>
          <w:rStyle w:val="18"/>
          <w:rFonts w:hint="eastAsia" w:ascii="楷体" w:hAnsi="楷体" w:eastAsia="楷体"/>
          <w:spacing w:val="-4"/>
          <w:sz w:val="32"/>
          <w:szCs w:val="32"/>
        </w:rPr>
        <w:tab/>
        <w:t>-</w:t>
      </w:r>
      <w:r>
        <w:rPr>
          <w:rStyle w:val="18"/>
          <w:rFonts w:hint="eastAsia" w:ascii="楷体" w:hAnsi="楷体" w:eastAsia="楷体"/>
          <w:spacing w:val="-4"/>
          <w:sz w:val="32"/>
          <w:szCs w:val="32"/>
        </w:rPr>
        <w:tab/>
        <w:t>按照完成比例赋分</w:t>
      </w:r>
      <w:r>
        <w:rPr>
          <w:rStyle w:val="18"/>
          <w:rFonts w:hint="eastAsia" w:ascii="楷体" w:hAnsi="楷体" w:eastAsia="楷体"/>
          <w:spacing w:val="-4"/>
          <w:sz w:val="32"/>
          <w:szCs w:val="32"/>
        </w:rPr>
        <w:tab/>
        <w:t>工作资料</w:t>
      </w:r>
      <w:r>
        <w:rPr>
          <w:rStyle w:val="18"/>
          <w:rFonts w:hint="eastAsia" w:ascii="楷体" w:hAnsi="楷体" w:eastAsia="楷体"/>
          <w:spacing w:val="-4"/>
          <w:sz w:val="32"/>
          <w:szCs w:val="32"/>
        </w:rPr>
        <w:tab/>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申请国家专利/著作权数量</w:t>
      </w:r>
      <w:r>
        <w:rPr>
          <w:rStyle w:val="18"/>
          <w:rFonts w:hint="eastAsia" w:ascii="楷体" w:hAnsi="楷体" w:eastAsia="楷体"/>
          <w:spacing w:val="-4"/>
          <w:sz w:val="32"/>
          <w:szCs w:val="32"/>
        </w:rPr>
        <w:tab/>
        <w:t>8</w:t>
      </w:r>
      <w:r>
        <w:rPr>
          <w:rStyle w:val="18"/>
          <w:rFonts w:hint="eastAsia" w:ascii="楷体" w:hAnsi="楷体" w:eastAsia="楷体"/>
          <w:spacing w:val="-4"/>
          <w:sz w:val="32"/>
          <w:szCs w:val="32"/>
        </w:rPr>
        <w:tab/>
        <w:t>&gt;=30个</w:t>
      </w:r>
      <w:r>
        <w:rPr>
          <w:rStyle w:val="18"/>
          <w:rFonts w:hint="eastAsia" w:ascii="楷体" w:hAnsi="楷体" w:eastAsia="楷体"/>
          <w:spacing w:val="-4"/>
          <w:sz w:val="32"/>
          <w:szCs w:val="32"/>
        </w:rPr>
        <w:tab/>
        <w:t>30</w:t>
      </w:r>
      <w:r>
        <w:rPr>
          <w:rStyle w:val="18"/>
          <w:rFonts w:hint="eastAsia" w:ascii="楷体" w:hAnsi="楷体" w:eastAsia="楷体"/>
          <w:spacing w:val="-4"/>
          <w:sz w:val="32"/>
          <w:szCs w:val="32"/>
        </w:rPr>
        <w:tab/>
        <w:t>100%</w:t>
      </w:r>
      <w:r>
        <w:rPr>
          <w:rStyle w:val="18"/>
          <w:rFonts w:hint="eastAsia" w:ascii="楷体" w:hAnsi="楷体" w:eastAsia="楷体"/>
          <w:spacing w:val="-4"/>
          <w:sz w:val="32"/>
          <w:szCs w:val="32"/>
        </w:rPr>
        <w:tab/>
        <w:t>8</w:t>
      </w:r>
      <w:r>
        <w:rPr>
          <w:rStyle w:val="18"/>
          <w:rFonts w:hint="eastAsia" w:ascii="楷体" w:hAnsi="楷体" w:eastAsia="楷体"/>
          <w:spacing w:val="-4"/>
          <w:sz w:val="32"/>
          <w:szCs w:val="32"/>
        </w:rPr>
        <w:tab/>
        <w:t>计划标准</w:t>
      </w:r>
      <w:r>
        <w:rPr>
          <w:rStyle w:val="18"/>
          <w:rFonts w:hint="eastAsia" w:ascii="楷体" w:hAnsi="楷体" w:eastAsia="楷体"/>
          <w:spacing w:val="-4"/>
          <w:sz w:val="32"/>
          <w:szCs w:val="32"/>
        </w:rPr>
        <w:tab/>
        <w:t>-</w:t>
      </w:r>
      <w:r>
        <w:rPr>
          <w:rStyle w:val="18"/>
          <w:rFonts w:hint="eastAsia" w:ascii="楷体" w:hAnsi="楷体" w:eastAsia="楷体"/>
          <w:spacing w:val="-4"/>
          <w:sz w:val="32"/>
          <w:szCs w:val="32"/>
        </w:rPr>
        <w:tab/>
        <w:t>按照完成比例赋分</w:t>
      </w:r>
      <w:r>
        <w:rPr>
          <w:rStyle w:val="18"/>
          <w:rFonts w:hint="eastAsia" w:ascii="楷体" w:hAnsi="楷体" w:eastAsia="楷体"/>
          <w:spacing w:val="-4"/>
          <w:sz w:val="32"/>
          <w:szCs w:val="32"/>
        </w:rPr>
        <w:tab/>
        <w:t>工作资料</w:t>
      </w:r>
      <w:r>
        <w:rPr>
          <w:rStyle w:val="18"/>
          <w:rFonts w:hint="eastAsia" w:ascii="楷体" w:hAnsi="楷体" w:eastAsia="楷体"/>
          <w:spacing w:val="-4"/>
          <w:sz w:val="32"/>
          <w:szCs w:val="32"/>
        </w:rPr>
        <w:tab/>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建立行业技术规范、标准（国际、国家、行业、地方等标准）</w:t>
      </w:r>
      <w:r>
        <w:rPr>
          <w:rStyle w:val="18"/>
          <w:rFonts w:hint="eastAsia" w:ascii="楷体" w:hAnsi="楷体" w:eastAsia="楷体"/>
          <w:spacing w:val="-4"/>
          <w:sz w:val="32"/>
          <w:szCs w:val="32"/>
        </w:rPr>
        <w:tab/>
        <w:t>8</w:t>
      </w:r>
      <w:r>
        <w:rPr>
          <w:rStyle w:val="18"/>
          <w:rFonts w:hint="eastAsia" w:ascii="楷体" w:hAnsi="楷体" w:eastAsia="楷体"/>
          <w:spacing w:val="-4"/>
          <w:sz w:val="32"/>
          <w:szCs w:val="32"/>
        </w:rPr>
        <w:tab/>
        <w:t>&gt;=3个</w:t>
      </w:r>
      <w:r>
        <w:rPr>
          <w:rStyle w:val="18"/>
          <w:rFonts w:hint="eastAsia" w:ascii="楷体" w:hAnsi="楷体" w:eastAsia="楷体"/>
          <w:spacing w:val="-4"/>
          <w:sz w:val="32"/>
          <w:szCs w:val="32"/>
        </w:rPr>
        <w:tab/>
        <w:t>3</w:t>
      </w:r>
      <w:r>
        <w:rPr>
          <w:rStyle w:val="18"/>
          <w:rFonts w:hint="eastAsia" w:ascii="楷体" w:hAnsi="楷体" w:eastAsia="楷体"/>
          <w:spacing w:val="-4"/>
          <w:sz w:val="32"/>
          <w:szCs w:val="32"/>
        </w:rPr>
        <w:tab/>
        <w:t>100%</w:t>
      </w:r>
      <w:r>
        <w:rPr>
          <w:rStyle w:val="18"/>
          <w:rFonts w:hint="eastAsia" w:ascii="楷体" w:hAnsi="楷体" w:eastAsia="楷体"/>
          <w:spacing w:val="-4"/>
          <w:sz w:val="32"/>
          <w:szCs w:val="32"/>
        </w:rPr>
        <w:tab/>
        <w:t>8</w:t>
      </w:r>
      <w:r>
        <w:rPr>
          <w:rStyle w:val="18"/>
          <w:rFonts w:hint="eastAsia" w:ascii="楷体" w:hAnsi="楷体" w:eastAsia="楷体"/>
          <w:spacing w:val="-4"/>
          <w:sz w:val="32"/>
          <w:szCs w:val="32"/>
        </w:rPr>
        <w:tab/>
        <w:t>行业标准</w:t>
      </w:r>
      <w:r>
        <w:rPr>
          <w:rStyle w:val="18"/>
          <w:rFonts w:hint="eastAsia" w:ascii="楷体" w:hAnsi="楷体" w:eastAsia="楷体"/>
          <w:spacing w:val="-4"/>
          <w:sz w:val="32"/>
          <w:szCs w:val="32"/>
        </w:rPr>
        <w:tab/>
        <w:t>-</w:t>
      </w:r>
      <w:r>
        <w:rPr>
          <w:rStyle w:val="18"/>
          <w:rFonts w:hint="eastAsia" w:ascii="楷体" w:hAnsi="楷体" w:eastAsia="楷体"/>
          <w:spacing w:val="-4"/>
          <w:sz w:val="32"/>
          <w:szCs w:val="32"/>
        </w:rPr>
        <w:tab/>
        <w:t>按照完成比例赋分</w:t>
      </w:r>
      <w:r>
        <w:rPr>
          <w:rStyle w:val="18"/>
          <w:rFonts w:hint="eastAsia" w:ascii="楷体" w:hAnsi="楷体" w:eastAsia="楷体"/>
          <w:spacing w:val="-4"/>
          <w:sz w:val="32"/>
          <w:szCs w:val="32"/>
        </w:rPr>
        <w:tab/>
        <w:t>工作资料</w:t>
      </w:r>
      <w:r>
        <w:rPr>
          <w:rStyle w:val="18"/>
          <w:rFonts w:hint="eastAsia" w:ascii="楷体" w:hAnsi="楷体" w:eastAsia="楷体"/>
          <w:spacing w:val="-4"/>
          <w:sz w:val="32"/>
          <w:szCs w:val="32"/>
        </w:rPr>
        <w:tab/>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效益指标</w:t>
      </w:r>
      <w:r>
        <w:rPr>
          <w:rStyle w:val="18"/>
          <w:rFonts w:hint="eastAsia" w:ascii="楷体" w:hAnsi="楷体" w:eastAsia="楷体"/>
          <w:spacing w:val="-4"/>
          <w:sz w:val="32"/>
          <w:szCs w:val="32"/>
        </w:rPr>
        <w:tab/>
        <w:t>经济效益指标</w:t>
      </w:r>
      <w:r>
        <w:rPr>
          <w:rStyle w:val="18"/>
          <w:rFonts w:hint="eastAsia" w:ascii="楷体" w:hAnsi="楷体" w:eastAsia="楷体"/>
          <w:spacing w:val="-4"/>
          <w:sz w:val="32"/>
          <w:szCs w:val="32"/>
        </w:rPr>
        <w:tab/>
        <w:t>带动社会投入与财政资金投入比例</w:t>
      </w:r>
      <w:r>
        <w:rPr>
          <w:rStyle w:val="18"/>
          <w:rFonts w:hint="eastAsia" w:ascii="楷体" w:hAnsi="楷体" w:eastAsia="楷体"/>
          <w:spacing w:val="-4"/>
          <w:sz w:val="32"/>
          <w:szCs w:val="32"/>
        </w:rPr>
        <w:tab/>
        <w:t>30</w:t>
      </w:r>
      <w:r>
        <w:rPr>
          <w:rStyle w:val="18"/>
          <w:rFonts w:hint="eastAsia" w:ascii="楷体" w:hAnsi="楷体" w:eastAsia="楷体"/>
          <w:spacing w:val="-4"/>
          <w:sz w:val="32"/>
          <w:szCs w:val="32"/>
        </w:rPr>
        <w:tab/>
        <w:t>&gt;=1:1</w:t>
      </w:r>
      <w:r>
        <w:rPr>
          <w:rStyle w:val="18"/>
          <w:rFonts w:hint="eastAsia" w:ascii="楷体" w:hAnsi="楷体" w:eastAsia="楷体"/>
          <w:spacing w:val="-4"/>
          <w:sz w:val="32"/>
          <w:szCs w:val="32"/>
        </w:rPr>
        <w:tab/>
        <w:t>&gt;=1:1</w:t>
      </w:r>
      <w:r>
        <w:rPr>
          <w:rStyle w:val="18"/>
          <w:rFonts w:hint="eastAsia" w:ascii="楷体" w:hAnsi="楷体" w:eastAsia="楷体"/>
          <w:spacing w:val="-4"/>
          <w:sz w:val="32"/>
          <w:szCs w:val="32"/>
        </w:rPr>
        <w:tab/>
        <w:t>100%</w:t>
      </w:r>
      <w:r>
        <w:rPr>
          <w:rStyle w:val="18"/>
          <w:rFonts w:hint="eastAsia" w:ascii="楷体" w:hAnsi="楷体" w:eastAsia="楷体"/>
          <w:spacing w:val="-4"/>
          <w:sz w:val="32"/>
          <w:szCs w:val="32"/>
        </w:rPr>
        <w:tab/>
        <w:t>30</w:t>
      </w:r>
      <w:r>
        <w:rPr>
          <w:rStyle w:val="18"/>
          <w:rFonts w:hint="eastAsia" w:ascii="楷体" w:hAnsi="楷体" w:eastAsia="楷体"/>
          <w:spacing w:val="-4"/>
          <w:sz w:val="32"/>
          <w:szCs w:val="32"/>
        </w:rPr>
        <w:tab/>
        <w:t>计划标准</w:t>
      </w:r>
      <w:r>
        <w:rPr>
          <w:rStyle w:val="18"/>
          <w:rFonts w:hint="eastAsia" w:ascii="楷体" w:hAnsi="楷体" w:eastAsia="楷体"/>
          <w:spacing w:val="-4"/>
          <w:sz w:val="32"/>
          <w:szCs w:val="32"/>
        </w:rPr>
        <w:tab/>
        <w:t>1:1</w:t>
      </w:r>
      <w:r>
        <w:rPr>
          <w:rStyle w:val="18"/>
          <w:rFonts w:hint="eastAsia" w:ascii="楷体" w:hAnsi="楷体" w:eastAsia="楷体"/>
          <w:spacing w:val="-4"/>
          <w:sz w:val="32"/>
          <w:szCs w:val="32"/>
        </w:rPr>
        <w:tab/>
        <w:t>直接赋分</w:t>
      </w:r>
      <w:r>
        <w:rPr>
          <w:rStyle w:val="18"/>
          <w:rFonts w:hint="eastAsia" w:ascii="楷体" w:hAnsi="楷体" w:eastAsia="楷体"/>
          <w:spacing w:val="-4"/>
          <w:sz w:val="32"/>
          <w:szCs w:val="32"/>
        </w:rPr>
        <w:tab/>
        <w:t>工作资料</w:t>
      </w:r>
      <w:r>
        <w:rPr>
          <w:rStyle w:val="18"/>
          <w:rFonts w:hint="eastAsia" w:ascii="楷体" w:hAnsi="楷体" w:eastAsia="楷体"/>
          <w:spacing w:val="-4"/>
          <w:sz w:val="32"/>
          <w:szCs w:val="32"/>
        </w:rPr>
        <w:tab/>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满意度指标</w:t>
      </w:r>
      <w:r>
        <w:rPr>
          <w:rStyle w:val="18"/>
          <w:rFonts w:hint="eastAsia" w:ascii="楷体" w:hAnsi="楷体" w:eastAsia="楷体"/>
          <w:spacing w:val="-4"/>
          <w:sz w:val="32"/>
          <w:szCs w:val="32"/>
        </w:rPr>
        <w:tab/>
        <w:t>满意度指标</w:t>
      </w:r>
      <w:r>
        <w:rPr>
          <w:rStyle w:val="18"/>
          <w:rFonts w:hint="eastAsia" w:ascii="楷体" w:hAnsi="楷体" w:eastAsia="楷体"/>
          <w:spacing w:val="-4"/>
          <w:sz w:val="32"/>
          <w:szCs w:val="32"/>
        </w:rPr>
        <w:tab/>
        <w:t>受扶持单位满意度</w:t>
      </w:r>
      <w:r>
        <w:rPr>
          <w:rStyle w:val="18"/>
          <w:rFonts w:hint="eastAsia" w:ascii="楷体" w:hAnsi="楷体" w:eastAsia="楷体"/>
          <w:spacing w:val="-4"/>
          <w:sz w:val="32"/>
          <w:szCs w:val="32"/>
        </w:rPr>
        <w:tab/>
        <w:t>5</w:t>
      </w:r>
      <w:r>
        <w:rPr>
          <w:rStyle w:val="18"/>
          <w:rFonts w:hint="eastAsia" w:ascii="楷体" w:hAnsi="楷体" w:eastAsia="楷体"/>
          <w:spacing w:val="-4"/>
          <w:sz w:val="32"/>
          <w:szCs w:val="32"/>
        </w:rPr>
        <w:tab/>
        <w:t>&gt;=90%</w:t>
      </w:r>
      <w:r>
        <w:rPr>
          <w:rStyle w:val="18"/>
          <w:rFonts w:hint="eastAsia" w:ascii="楷体" w:hAnsi="楷体" w:eastAsia="楷体"/>
          <w:spacing w:val="-4"/>
          <w:sz w:val="32"/>
          <w:szCs w:val="32"/>
        </w:rPr>
        <w:tab/>
        <w:t>&gt;=90%</w:t>
      </w:r>
      <w:r>
        <w:rPr>
          <w:rStyle w:val="18"/>
          <w:rFonts w:hint="eastAsia" w:ascii="楷体" w:hAnsi="楷体" w:eastAsia="楷体"/>
          <w:spacing w:val="-4"/>
          <w:sz w:val="32"/>
          <w:szCs w:val="32"/>
        </w:rPr>
        <w:tab/>
        <w:t>100%</w:t>
      </w:r>
      <w:r>
        <w:rPr>
          <w:rStyle w:val="18"/>
          <w:rFonts w:hint="eastAsia" w:ascii="楷体" w:hAnsi="楷体" w:eastAsia="楷体"/>
          <w:spacing w:val="-4"/>
          <w:sz w:val="32"/>
          <w:szCs w:val="32"/>
        </w:rPr>
        <w:tab/>
        <w:t>5</w:t>
      </w:r>
      <w:r>
        <w:rPr>
          <w:rStyle w:val="18"/>
          <w:rFonts w:hint="eastAsia" w:ascii="楷体" w:hAnsi="楷体" w:eastAsia="楷体"/>
          <w:spacing w:val="-4"/>
          <w:sz w:val="32"/>
          <w:szCs w:val="32"/>
        </w:rPr>
        <w:tab/>
        <w:t>计划标准</w:t>
      </w:r>
      <w:r>
        <w:rPr>
          <w:rStyle w:val="18"/>
          <w:rFonts w:hint="eastAsia" w:ascii="楷体" w:hAnsi="楷体" w:eastAsia="楷体"/>
          <w:spacing w:val="-4"/>
          <w:sz w:val="32"/>
          <w:szCs w:val="32"/>
        </w:rPr>
        <w:tab/>
        <w:t>90%</w:t>
      </w:r>
      <w:r>
        <w:rPr>
          <w:rStyle w:val="18"/>
          <w:rFonts w:hint="eastAsia" w:ascii="楷体" w:hAnsi="楷体" w:eastAsia="楷体"/>
          <w:spacing w:val="-4"/>
          <w:sz w:val="32"/>
          <w:szCs w:val="32"/>
        </w:rPr>
        <w:tab/>
        <w:t>满意度赋分</w:t>
      </w:r>
      <w:r>
        <w:rPr>
          <w:rStyle w:val="18"/>
          <w:rFonts w:hint="eastAsia" w:ascii="楷体" w:hAnsi="楷体" w:eastAsia="楷体"/>
          <w:spacing w:val="-4"/>
          <w:sz w:val="32"/>
          <w:szCs w:val="32"/>
        </w:rPr>
        <w:tab/>
        <w:t>工作资料</w:t>
      </w:r>
      <w:r>
        <w:rPr>
          <w:rStyle w:val="18"/>
          <w:rFonts w:hint="eastAsia" w:ascii="楷体" w:hAnsi="楷体" w:eastAsia="楷体"/>
          <w:spacing w:val="-4"/>
          <w:sz w:val="32"/>
          <w:szCs w:val="32"/>
        </w:rPr>
        <w:tab/>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满意度指标</w:t>
      </w:r>
      <w:r>
        <w:rPr>
          <w:rStyle w:val="18"/>
          <w:rFonts w:hint="eastAsia" w:ascii="楷体" w:hAnsi="楷体" w:eastAsia="楷体"/>
          <w:spacing w:val="-4"/>
          <w:sz w:val="32"/>
          <w:szCs w:val="32"/>
        </w:rPr>
        <w:tab/>
        <w:t>受扶持科研人员满意度</w:t>
      </w:r>
      <w:r>
        <w:rPr>
          <w:rStyle w:val="18"/>
          <w:rFonts w:hint="eastAsia" w:ascii="楷体" w:hAnsi="楷体" w:eastAsia="楷体"/>
          <w:spacing w:val="-4"/>
          <w:sz w:val="32"/>
          <w:szCs w:val="32"/>
        </w:rPr>
        <w:tab/>
        <w:t>5</w:t>
      </w:r>
      <w:r>
        <w:rPr>
          <w:rStyle w:val="18"/>
          <w:rFonts w:hint="eastAsia" w:ascii="楷体" w:hAnsi="楷体" w:eastAsia="楷体"/>
          <w:spacing w:val="-4"/>
          <w:sz w:val="32"/>
          <w:szCs w:val="32"/>
        </w:rPr>
        <w:tab/>
        <w:t>&gt;=90%</w:t>
      </w:r>
      <w:r>
        <w:rPr>
          <w:rStyle w:val="18"/>
          <w:rFonts w:hint="eastAsia" w:ascii="楷体" w:hAnsi="楷体" w:eastAsia="楷体"/>
          <w:spacing w:val="-4"/>
          <w:sz w:val="32"/>
          <w:szCs w:val="32"/>
        </w:rPr>
        <w:tab/>
        <w:t>&gt;=90%</w:t>
      </w:r>
      <w:r>
        <w:rPr>
          <w:rStyle w:val="18"/>
          <w:rFonts w:hint="eastAsia" w:ascii="楷体" w:hAnsi="楷体" w:eastAsia="楷体"/>
          <w:spacing w:val="-4"/>
          <w:sz w:val="32"/>
          <w:szCs w:val="32"/>
        </w:rPr>
        <w:tab/>
        <w:t>100%</w:t>
      </w:r>
      <w:r>
        <w:rPr>
          <w:rStyle w:val="18"/>
          <w:rFonts w:hint="eastAsia" w:ascii="楷体" w:hAnsi="楷体" w:eastAsia="楷体"/>
          <w:spacing w:val="-4"/>
          <w:sz w:val="32"/>
          <w:szCs w:val="32"/>
        </w:rPr>
        <w:tab/>
        <w:t>5</w:t>
      </w:r>
      <w:r>
        <w:rPr>
          <w:rStyle w:val="18"/>
          <w:rFonts w:hint="eastAsia" w:ascii="楷体" w:hAnsi="楷体" w:eastAsia="楷体"/>
          <w:spacing w:val="-4"/>
          <w:sz w:val="32"/>
          <w:szCs w:val="32"/>
        </w:rPr>
        <w:tab/>
        <w:t>计划标准</w:t>
      </w:r>
      <w:r>
        <w:rPr>
          <w:rStyle w:val="18"/>
          <w:rFonts w:hint="eastAsia" w:ascii="楷体" w:hAnsi="楷体" w:eastAsia="楷体"/>
          <w:spacing w:val="-4"/>
          <w:sz w:val="32"/>
          <w:szCs w:val="32"/>
        </w:rPr>
        <w:tab/>
        <w:t>90%</w:t>
      </w:r>
      <w:r>
        <w:rPr>
          <w:rStyle w:val="18"/>
          <w:rFonts w:hint="eastAsia" w:ascii="楷体" w:hAnsi="楷体" w:eastAsia="楷体"/>
          <w:spacing w:val="-4"/>
          <w:sz w:val="32"/>
          <w:szCs w:val="32"/>
        </w:rPr>
        <w:tab/>
        <w:t>满意度赋分</w:t>
      </w:r>
      <w:r>
        <w:rPr>
          <w:rStyle w:val="18"/>
          <w:rFonts w:hint="eastAsia" w:ascii="楷体" w:hAnsi="楷体" w:eastAsia="楷体"/>
          <w:spacing w:val="-4"/>
          <w:sz w:val="32"/>
          <w:szCs w:val="32"/>
        </w:rPr>
        <w:tab/>
        <w:t>工作资料</w:t>
      </w:r>
      <w:r>
        <w:rPr>
          <w:rStyle w:val="18"/>
          <w:rFonts w:hint="eastAsia" w:ascii="楷体" w:hAnsi="楷体" w:eastAsia="楷体"/>
          <w:spacing w:val="-4"/>
          <w:sz w:val="32"/>
          <w:szCs w:val="32"/>
        </w:rPr>
        <w:tab/>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总分</w:t>
      </w:r>
      <w:r>
        <w:rPr>
          <w:rStyle w:val="18"/>
          <w:rFonts w:hint="eastAsia" w:ascii="楷体" w:hAnsi="楷体" w:eastAsia="楷体"/>
          <w:spacing w:val="-4"/>
          <w:sz w:val="32"/>
          <w:szCs w:val="32"/>
        </w:rPr>
        <w:tab/>
        <w:t>90</w:t>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99.68</w:t>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通过对自治区区域协同创新专项-科技援疆计划项目、上合计划项目开展绩效评价，了解和掌握项目实施的具体情况，客观评价其项目资金安排的科学性、合理性、规范性和资金使用成效，及时总结项目管理经验，完善项目管理办法，提高项目管理水平和资金的使用效益。督促项目承担单位根据绩效评价中发现的问题，认真加以整改，及时调整和完善单位的工作计划和绩效目标并加强项目管理，提高管理水平，同时为项目后续资金投入、分配和管理提供决策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本次评价对象为2024年度自治区区域协同创新专项-科技援疆计划项目、上合计划项目，从项目决策、项目管理、项目产出、项目效益、满意度五个维度进行评价。 </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1.绩效评价依据和原则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依据《中华人民共和国预算法》《中华人民共和国预算法实施条例》《项目支出绩效评价管理办法》（财预〔2020〕10号）、《财政部关于印发第三方机构绩效评价业务监督管理暂行办法》的通知（财监〔2021〕4号）、《财政部关于委托第三方机构参与预算绩效管理的指导意见》（财预〔2021〕6号）、《关于进一步加强和规范第三方机构参与预算绩效管理的通知》（新财预〔2021〕49号）等系列文件的要求，本次绩效评价秉承科学规范、公正公开、分级分类、绩效相关等原则，按照从投入、过程到产出效果和影响的绩效逻辑路径，结合2024年度自治区区域协同创新专项-科技援疆计划项目、上合计划项目实际开展情况，运用定量和定性分析相结合的方法，客观评价项目实施成效。</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根据以上原则，绩效评价应遵循如下要求：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（1）在数据收集时，采取客观数据，主管部门审查、社会中介组织复查，访谈工作与问卷调查相结合的形式，以保证各项指标的真实性。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（2）保证评价结果的真实性、公正性，提高评价报告的公信力。</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（3）绩效评价报告应当简明扼要，除了对绩效评价的过程、结果描述外，还应指出问题，并就共性问题提出可操作性改进建议。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2.绩效评价指标体系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本项目共设置项目决策、项目过程、项目产出、项目效益，满意度指标五大1级指标，并按科学及相关性要求分别设立2级和3级指标。项目绩效评价指标体系，评分表满分100分，见下表：</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2024年度自治区区域协同创新专项-科技援疆计划项目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支出绩效评价指标体系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一级指标</w:t>
      </w:r>
      <w:r>
        <w:rPr>
          <w:rStyle w:val="18"/>
          <w:rFonts w:hint="eastAsia" w:ascii="楷体" w:hAnsi="楷体" w:eastAsia="楷体"/>
          <w:spacing w:val="-4"/>
          <w:sz w:val="32"/>
          <w:szCs w:val="32"/>
        </w:rPr>
        <w:tab/>
        <w:t>二级指标</w:t>
      </w:r>
      <w:r>
        <w:rPr>
          <w:rStyle w:val="18"/>
          <w:rFonts w:hint="eastAsia" w:ascii="楷体" w:hAnsi="楷体" w:eastAsia="楷体"/>
          <w:spacing w:val="-4"/>
          <w:sz w:val="32"/>
          <w:szCs w:val="32"/>
        </w:rPr>
        <w:tab/>
        <w:t>权重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项目决策（20分）</w:t>
      </w:r>
      <w:r>
        <w:rPr>
          <w:rStyle w:val="18"/>
          <w:rFonts w:hint="eastAsia" w:ascii="楷体" w:hAnsi="楷体" w:eastAsia="楷体"/>
          <w:spacing w:val="-4"/>
          <w:sz w:val="32"/>
          <w:szCs w:val="32"/>
        </w:rPr>
        <w:tab/>
        <w:t>项目立项</w:t>
      </w:r>
      <w:r>
        <w:rPr>
          <w:rStyle w:val="18"/>
          <w:rFonts w:hint="eastAsia" w:ascii="楷体" w:hAnsi="楷体" w:eastAsia="楷体"/>
          <w:spacing w:val="-4"/>
          <w:sz w:val="32"/>
          <w:szCs w:val="32"/>
        </w:rPr>
        <w:tab/>
        <w:t>6</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绩效目标</w:t>
      </w:r>
      <w:r>
        <w:rPr>
          <w:rStyle w:val="18"/>
          <w:rFonts w:hint="eastAsia" w:ascii="楷体" w:hAnsi="楷体" w:eastAsia="楷体"/>
          <w:spacing w:val="-4"/>
          <w:sz w:val="32"/>
          <w:szCs w:val="32"/>
        </w:rPr>
        <w:tab/>
        <w:t>6</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资金投入</w:t>
      </w:r>
      <w:r>
        <w:rPr>
          <w:rStyle w:val="18"/>
          <w:rFonts w:hint="eastAsia" w:ascii="楷体" w:hAnsi="楷体" w:eastAsia="楷体"/>
          <w:spacing w:val="-4"/>
          <w:sz w:val="32"/>
          <w:szCs w:val="32"/>
        </w:rPr>
        <w:tab/>
        <w:t>8</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项目过程（20分）</w:t>
      </w:r>
      <w:r>
        <w:rPr>
          <w:rStyle w:val="18"/>
          <w:rFonts w:hint="eastAsia" w:ascii="楷体" w:hAnsi="楷体" w:eastAsia="楷体"/>
          <w:spacing w:val="-4"/>
          <w:sz w:val="32"/>
          <w:szCs w:val="32"/>
        </w:rPr>
        <w:tab/>
        <w:t>资金管理</w:t>
      </w:r>
      <w:r>
        <w:rPr>
          <w:rStyle w:val="18"/>
          <w:rFonts w:hint="eastAsia" w:ascii="楷体" w:hAnsi="楷体" w:eastAsia="楷体"/>
          <w:spacing w:val="-4"/>
          <w:sz w:val="32"/>
          <w:szCs w:val="32"/>
        </w:rPr>
        <w:tab/>
        <w:t>10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组织实施</w:t>
      </w:r>
      <w:r>
        <w:rPr>
          <w:rStyle w:val="18"/>
          <w:rFonts w:hint="eastAsia" w:ascii="楷体" w:hAnsi="楷体" w:eastAsia="楷体"/>
          <w:spacing w:val="-4"/>
          <w:sz w:val="32"/>
          <w:szCs w:val="32"/>
        </w:rPr>
        <w:tab/>
        <w:t>10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项目产出（40分）</w:t>
      </w:r>
      <w:r>
        <w:rPr>
          <w:rStyle w:val="18"/>
          <w:rFonts w:hint="eastAsia" w:ascii="楷体" w:hAnsi="楷体" w:eastAsia="楷体"/>
          <w:spacing w:val="-4"/>
          <w:sz w:val="32"/>
          <w:szCs w:val="32"/>
        </w:rPr>
        <w:tab/>
        <w:t>数量指标</w:t>
      </w:r>
      <w:r>
        <w:rPr>
          <w:rStyle w:val="18"/>
          <w:rFonts w:hint="eastAsia" w:ascii="楷体" w:hAnsi="楷体" w:eastAsia="楷体"/>
          <w:spacing w:val="-4"/>
          <w:sz w:val="32"/>
          <w:szCs w:val="32"/>
        </w:rPr>
        <w:tab/>
        <w:t>40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 xml:space="preserve"> 项目效果（10分）</w:t>
      </w:r>
      <w:r>
        <w:rPr>
          <w:rStyle w:val="18"/>
          <w:rFonts w:hint="eastAsia" w:ascii="楷体" w:hAnsi="楷体" w:eastAsia="楷体"/>
          <w:spacing w:val="-4"/>
          <w:sz w:val="32"/>
          <w:szCs w:val="32"/>
        </w:rPr>
        <w:tab/>
        <w:t>经济效益指标</w:t>
      </w:r>
      <w:r>
        <w:rPr>
          <w:rStyle w:val="18"/>
          <w:rFonts w:hint="eastAsia" w:ascii="楷体" w:hAnsi="楷体" w:eastAsia="楷体"/>
          <w:spacing w:val="-4"/>
          <w:sz w:val="32"/>
          <w:szCs w:val="32"/>
        </w:rPr>
        <w:tab/>
        <w:t>10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满意度指标（10分）</w:t>
      </w:r>
      <w:r>
        <w:rPr>
          <w:rStyle w:val="18"/>
          <w:rFonts w:hint="eastAsia" w:ascii="楷体" w:hAnsi="楷体" w:eastAsia="楷体"/>
          <w:spacing w:val="-4"/>
          <w:sz w:val="32"/>
          <w:szCs w:val="32"/>
        </w:rPr>
        <w:tab/>
        <w:t>满意度指标</w:t>
      </w:r>
      <w:r>
        <w:rPr>
          <w:rStyle w:val="18"/>
          <w:rFonts w:hint="eastAsia" w:ascii="楷体" w:hAnsi="楷体" w:eastAsia="楷体"/>
          <w:spacing w:val="-4"/>
          <w:sz w:val="32"/>
          <w:szCs w:val="32"/>
        </w:rPr>
        <w:tab/>
        <w:t>10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合计</w:t>
      </w:r>
      <w:r>
        <w:rPr>
          <w:rStyle w:val="18"/>
          <w:rFonts w:hint="eastAsia" w:ascii="楷体" w:hAnsi="楷体" w:eastAsia="楷体"/>
          <w:spacing w:val="-4"/>
          <w:sz w:val="32"/>
          <w:szCs w:val="32"/>
        </w:rPr>
        <w:tab/>
        <w:t>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设计绩效评价指标体系时，首先确定总目标，根据权数逐级确定至三级指标的标准值，再分解至每项考查内容。每项考查内容依据实际考查结果评定，其中指标完成值由考评人根据实施单位提供的资料予以评定，指标完成值按照预期指标值评定，根据指标完成值确定指标完成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通过对绩效评价方法的综合运用，对获取的各类数据进行汇总、分类和分析。对于量化指标，进行量化分析，得出财政支出绩效评价的量化结果。</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绩效评价方法主要包括成本效益分析法、比较法、因素分析法、最低成本法、公众评判法、标杆管理法等。针对本次评价，在评价过程中主要采用了比较法。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详细方法应用如下：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比较法：通过梳理该项目实施方案和实际完成情况，对比分析，评价产出指标的完成情况，分析项目实施后产生的效益效果。</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4.绩效评价标准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标准通常包括计划标准、行业标准、历史标准、其他标准等，用于对绩效指标完成情况进行比较。本次评价对于定量指标，采用计划标准，以预先制定的目标、计划、预算、定额等作为评价标准，对比分析项目产出、效益的完成情况，结合设定的评分标准，通过公式计算具体得分。对于定性指标，通过查看项目资料，采集相关数据，评价指标的完成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本次项目评价主要包括前期准备、组织实施、汇总整理、分析评估四个阶段。前期准备阶段主要包括确定绩效评价对象和范围，绩效项目梳理，拟定绩效自评通知等；组织实施阶段主要包括下达绩效自评通知，联系各单位按照通知要求上报自评表，审核各单位自评表内容等方面；汇总整理阶段主要包括归档各单位自评表，汇总各单位指标实施情况；分析评估阶段将各单位自评结果进行分析评估，并依此对2024年项目整体实施情况进行综合性评价，形成自治区区域协同创新专项-科技援疆计划绩效评价报告和支出绩效自评表。</w:t>
      </w:r>
    </w:p>
    <w:p>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依据《项目支出绩效评价管理办法》（财预〔2020〕10号）文件，绩效评价总分设置为100分，划分为四档：90（含）-100分为优，80（含）-90分为良，60（含）-80分为中，60分以下为差。经综合分析评价，该项目得分98.73分，绩效等级评定为“优”。具体得分率98.73%.</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项目决策20分，得分20分。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项目过程总分20分，得分19分。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项目产出总分40分，得分39.73分。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项目效益总分10分，得分10分。</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满意度总分10分，得分10分。</w:t>
      </w:r>
    </w:p>
    <w:p>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lang w:eastAsia="zh-CN"/>
        </w:rPr>
        <w:t>五</w:t>
      </w:r>
      <w:r>
        <w:rPr>
          <w:rStyle w:val="18"/>
          <w:rFonts w:hint="eastAsia" w:ascii="黑体" w:hAnsi="黑体" w:eastAsia="黑体"/>
          <w:b w:val="0"/>
          <w:spacing w:val="-4"/>
          <w:sz w:val="32"/>
          <w:szCs w:val="32"/>
        </w:rPr>
        <w:t>、</w:t>
      </w:r>
      <w:r>
        <w:rPr>
          <w:rStyle w:val="18"/>
          <w:rFonts w:ascii="黑体" w:hAnsi="黑体" w:eastAsia="黑体"/>
          <w:b w:val="0"/>
          <w:spacing w:val="-4"/>
          <w:sz w:val="32"/>
          <w:szCs w:val="32"/>
        </w:rPr>
        <w:t>主要经验及做法、存在的问题及原因分析</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（一）项目整体实施进展情况、取得的成效</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项目实施，2024年自治区区域协同创新专项-转移转化技术成果数26件，引进培养高层次科技人才（博士、硕士及以上）数量达到11人，培养技术人员数87人，开展各类培训13场，申请国家专利（著作权）16件，带动社会投入与财政资金投入比例达到1:1，加快推进全国科技力量向新疆集聚，有效促进新疆地区特色产业发展及技术水平提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（二）经验及做法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加强项目过程管理。为确保各项目单位提高资金使用效益，在项目立项后，根据工作安排对在研项目开展实地调研，了解项目实施情况及资金执行进度，“面对面”解读宣传科研项目管理的相关政策规定，“一对一”精准服务为项目负责人解疑答惑，及时解决项目实施过程中遇到的问题。</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（三）存在的问题及原因分析</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2024年自治区区域协同创新专项于2024年6月和9月底拨付，项目支出绩效统计时间为截止至2024年12月底，个别项目采购及外部条件限制以及各项目单位12月扎帐，导致结转资金未能及时支出，在一定程度上影响了资金执行率。</w:t>
      </w:r>
    </w:p>
    <w:p>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lang w:eastAsia="zh-CN"/>
        </w:rPr>
        <w:t>六</w:t>
      </w:r>
      <w:r>
        <w:rPr>
          <w:rStyle w:val="18"/>
          <w:rFonts w:ascii="黑体" w:hAnsi="黑体" w:eastAsia="黑体"/>
          <w:b w:val="0"/>
          <w:spacing w:val="-4"/>
          <w:sz w:val="32"/>
          <w:szCs w:val="32"/>
        </w:rPr>
        <w:t>、有关建议</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（一）科学编制预算，提高预算与目标匹配度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科学的预算编制应该保证预算和目标在质和量上相匹配，即一方面预算应该根据目标来编制，保证每一个目标的实现均有相应的预算安排，另一方面应在合理测算工作量的基础上保证预算编制的准确性。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对此，建议预算单位会同财政部门共同梳理项目绩效目标，合理测算2024年项目工作量，科学编制预算。</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（二）制定明确的验收标准，加强绩效管理，完善年度绩效目标，保证项目实施效果</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预算部门应根据项目的相关管理制度或预申报资金情况，制定明确的验收标准，同时，完善绩效管理系统，对于项目的实施，根据年度实施项目内容，设置合理的绩效指标，严格按照指向明确、具体细化和合理可行这三个标准，设定项目绩效目标，从而能更有利的推动项目实施效果。</w:t>
      </w:r>
    </w:p>
    <w:p>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lang w:eastAsia="zh-CN"/>
        </w:rPr>
        <w:t>七</w:t>
      </w:r>
      <w:r>
        <w:rPr>
          <w:rStyle w:val="18"/>
          <w:rFonts w:hint="eastAsia" w:ascii="黑体" w:hAnsi="黑体" w:eastAsia="黑体"/>
          <w:b w:val="0"/>
          <w:spacing w:val="-4"/>
          <w:sz w:val="32"/>
          <w:szCs w:val="32"/>
        </w:rPr>
        <w:t>、其他需要说明的问题</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CB44F22"/>
    <w:rsid w:val="4C3D1751"/>
    <w:rsid w:val="4D2606A1"/>
    <w:rsid w:val="665746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113</Words>
  <Characters>648</Characters>
  <Lines>5</Lines>
  <Paragraphs>1</Paragraphs>
  <TotalTime>0</TotalTime>
  <ScaleCrop>false</ScaleCrop>
  <LinksUpToDate>false</LinksUpToDate>
  <CharactersWithSpaces>760</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2025-08-22T05:21:49Z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160D1BA1944349B08C48068401F6E698</vt:lpwstr>
  </property>
</Properties>
</file>