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科研项目经费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新疆维吾尔自治区中医药研究院</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新疆维吾尔自治区中医药研究院</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王先敏</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国务院关于改进加强中央财政科研项目和资金管理的若干意见》（国发〔2014〕11号）文件精神，自治区先后出台《关于改进加强自治区财政科技项目和资金管理的意见》（新财教〔2016〕14号）等相关文件，为区域内科研项目的开展提供坚实的政策保障与明确的方向指引。卫生健康领域，人才需求紧迫。随着医疗需求多元化，高素质卫生健康人才短缺，加强人才队伍建设成为提升医疗服务水平的关键。中医药优势独特，丰富资源与文化传承奠定良好发展基础。但需借助临床研究、药物实验等现代科研手段，挖掘潜力、提升疗效。在此背景下，科研项目经费将围绕发展目标，规划科研项目，投入专项资金，开展人才培养培训，推动中医药科研活动，带动科研项目关键性技术攻关，培养新型人才、强化自主创新，促进科技成果转化和产业化，推动经济社会协调发展，提升产业整体竞争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新疆维吾尔自治区中医药研究院于 2002 年与新疆维吾尔自治区中医医院合并，是自治区中医医疗、教学、科研、保健、康复工作的主要基地和中医学术龙头单位，每年承担多项国家级、省级、卫生健康委员会、医科大学科研课题。2024 年，研究院共受理各类科技项目申报书303项，获资助115项，其中国家自然科学基金青年项目1项，地区项目5项。获得省级科研项目26项，厅级16项，校级3项，院级项目47项，医院制剂研发专项3项，横向项目13项，其他项目4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3.资金投入及使用情况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（1）资金投入情况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2024年，研究院科研项目经费年初预算1100 万元，年中未发生预算调整事项。资金使用专款专用、注重绩效，主要用于自治区自然科学基金、重点研发、科技重大等科学技术支出。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截止2024年12月31日，该项目全年执行数1527.88万，资金执行率138.90%。</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新疆维吾尔自治区财政科研项目资金管理办法》（新财教〔2019〕196号）《新疆维吾尔自治区科技计划项目管理办法》（新科规〔2019〕1号），2024年项目绩效年度总目标为进一步加强卫生健康人才队伍建设，用于开展卫生健康人才培养培训工作，通过临床研究、药物实验等方式进一步促进中医药事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周期较长，普遍为3年。2024年度研究院科研项目阶段性目标按照“有限目标，重点突破，整合资源，强化集成，完善机制，滚动发展”的指导原则设置，坚持政产学研用相结合，注重培养人才，培育创新团队，获取自主知识产权。按照项目实施方案和序时进度，推进资金支出阶段性目标。2024年科研项目经费绩效目标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项目支出绩效自评表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项目名称</w:t>
      </w:r>
      <w:r>
        <w:rPr>
          <w:rStyle w:val="18"/>
          <w:rFonts w:hint="eastAsia" w:ascii="楷体" w:hAnsi="楷体" w:eastAsia="楷体"/>
          <w:spacing w:val="-4"/>
          <w:sz w:val="32"/>
          <w:szCs w:val="32"/>
        </w:rPr>
        <w:tab/>
        <w:t>科研项目经费</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主管部门</w:t>
      </w:r>
      <w:r>
        <w:rPr>
          <w:rStyle w:val="18"/>
          <w:rFonts w:hint="eastAsia" w:ascii="楷体" w:hAnsi="楷体" w:eastAsia="楷体"/>
          <w:spacing w:val="-4"/>
          <w:sz w:val="32"/>
          <w:szCs w:val="32"/>
        </w:rPr>
        <w:tab/>
        <w:t>新疆维吾尔自治区科学技术厅</w:t>
      </w:r>
      <w:r>
        <w:rPr>
          <w:rStyle w:val="18"/>
          <w:rFonts w:hint="eastAsia" w:ascii="楷体" w:hAnsi="楷体" w:eastAsia="楷体"/>
          <w:spacing w:val="-4"/>
          <w:sz w:val="32"/>
          <w:szCs w:val="32"/>
        </w:rPr>
        <w:tab/>
        <w:t>实施单位</w:t>
      </w:r>
      <w:r>
        <w:rPr>
          <w:rStyle w:val="18"/>
          <w:rFonts w:hint="eastAsia" w:ascii="楷体" w:hAnsi="楷体" w:eastAsia="楷体"/>
          <w:spacing w:val="-4"/>
          <w:sz w:val="32"/>
          <w:szCs w:val="32"/>
        </w:rPr>
        <w:tab/>
        <w:t>新疆维吾尔自治区中医药研究院</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项目资金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（万元）</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年初预算数</w:t>
      </w:r>
      <w:r>
        <w:rPr>
          <w:rStyle w:val="18"/>
          <w:rFonts w:hint="eastAsia" w:ascii="楷体" w:hAnsi="楷体" w:eastAsia="楷体"/>
          <w:spacing w:val="-4"/>
          <w:sz w:val="32"/>
          <w:szCs w:val="32"/>
        </w:rPr>
        <w:tab/>
        <w:t>全年预算数</w:t>
      </w:r>
      <w:r>
        <w:rPr>
          <w:rStyle w:val="18"/>
          <w:rFonts w:hint="eastAsia" w:ascii="楷体" w:hAnsi="楷体" w:eastAsia="楷体"/>
          <w:spacing w:val="-4"/>
          <w:sz w:val="32"/>
          <w:szCs w:val="32"/>
        </w:rPr>
        <w:tab/>
        <w:t>全年执行数</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执行率</w:t>
      </w:r>
      <w:r>
        <w:rPr>
          <w:rStyle w:val="18"/>
          <w:rFonts w:hint="eastAsia" w:ascii="楷体" w:hAnsi="楷体" w:eastAsia="楷体"/>
          <w:spacing w:val="-4"/>
          <w:sz w:val="32"/>
          <w:szCs w:val="32"/>
        </w:rPr>
        <w:tab/>
        <w:t>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年度资金总额</w:t>
      </w:r>
      <w:r>
        <w:rPr>
          <w:rStyle w:val="18"/>
          <w:rFonts w:hint="eastAsia" w:ascii="楷体" w:hAnsi="楷体" w:eastAsia="楷体"/>
          <w:spacing w:val="-4"/>
          <w:sz w:val="32"/>
          <w:szCs w:val="32"/>
        </w:rPr>
        <w:tab/>
        <w:t>1100.00</w:t>
      </w:r>
      <w:r>
        <w:rPr>
          <w:rStyle w:val="18"/>
          <w:rFonts w:hint="eastAsia" w:ascii="楷体" w:hAnsi="楷体" w:eastAsia="楷体"/>
          <w:spacing w:val="-4"/>
          <w:sz w:val="32"/>
          <w:szCs w:val="32"/>
        </w:rPr>
        <w:tab/>
        <w:t>1100.00</w:t>
      </w:r>
      <w:r>
        <w:rPr>
          <w:rStyle w:val="18"/>
          <w:rFonts w:hint="eastAsia" w:ascii="楷体" w:hAnsi="楷体" w:eastAsia="楷体"/>
          <w:spacing w:val="-4"/>
          <w:sz w:val="32"/>
          <w:szCs w:val="32"/>
        </w:rPr>
        <w:tab/>
        <w:t>1527.88</w:t>
      </w:r>
      <w:r>
        <w:rPr>
          <w:rStyle w:val="18"/>
          <w:rFonts w:hint="eastAsia" w:ascii="楷体" w:hAnsi="楷体" w:eastAsia="楷体"/>
          <w:spacing w:val="-4"/>
          <w:sz w:val="32"/>
          <w:szCs w:val="32"/>
        </w:rPr>
        <w:tab/>
        <w:t>10.00</w:t>
      </w:r>
      <w:r>
        <w:rPr>
          <w:rStyle w:val="18"/>
          <w:rFonts w:hint="eastAsia" w:ascii="楷体" w:hAnsi="楷体" w:eastAsia="楷体"/>
          <w:spacing w:val="-4"/>
          <w:sz w:val="32"/>
          <w:szCs w:val="32"/>
        </w:rPr>
        <w:tab/>
        <w:t>138.90%</w:t>
      </w:r>
      <w:r>
        <w:rPr>
          <w:rStyle w:val="18"/>
          <w:rFonts w:hint="eastAsia" w:ascii="楷体" w:hAnsi="楷体" w:eastAsia="楷体"/>
          <w:spacing w:val="-4"/>
          <w:sz w:val="32"/>
          <w:szCs w:val="32"/>
        </w:rPr>
        <w:tab/>
        <w:t>10.00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其中：当年财政拨款</w:t>
      </w:r>
      <w:r>
        <w:rPr>
          <w:rStyle w:val="18"/>
          <w:rFonts w:hint="eastAsia" w:ascii="楷体" w:hAnsi="楷体" w:eastAsia="楷体"/>
          <w:spacing w:val="-4"/>
          <w:sz w:val="32"/>
          <w:szCs w:val="32"/>
        </w:rPr>
        <w:tab/>
        <w:t>0.00</w:t>
      </w:r>
      <w:r>
        <w:rPr>
          <w:rStyle w:val="18"/>
          <w:rFonts w:hint="eastAsia" w:ascii="楷体" w:hAnsi="楷体" w:eastAsia="楷体"/>
          <w:spacing w:val="-4"/>
          <w:sz w:val="32"/>
          <w:szCs w:val="32"/>
        </w:rPr>
        <w:tab/>
        <w:t>0.00</w:t>
      </w:r>
      <w:r>
        <w:rPr>
          <w:rStyle w:val="18"/>
          <w:rFonts w:hint="eastAsia" w:ascii="楷体" w:hAnsi="楷体" w:eastAsia="楷体"/>
          <w:spacing w:val="-4"/>
          <w:sz w:val="32"/>
          <w:szCs w:val="32"/>
        </w:rPr>
        <w:tab/>
        <w:t>0.00</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xml:space="preserve">  其他资金</w:t>
      </w:r>
      <w:r>
        <w:rPr>
          <w:rStyle w:val="18"/>
          <w:rFonts w:hint="eastAsia" w:ascii="楷体" w:hAnsi="楷体" w:eastAsia="楷体"/>
          <w:spacing w:val="-4"/>
          <w:sz w:val="32"/>
          <w:szCs w:val="32"/>
        </w:rPr>
        <w:tab/>
        <w:t>1100.00</w:t>
      </w:r>
      <w:r>
        <w:rPr>
          <w:rStyle w:val="18"/>
          <w:rFonts w:hint="eastAsia" w:ascii="楷体" w:hAnsi="楷体" w:eastAsia="楷体"/>
          <w:spacing w:val="-4"/>
          <w:sz w:val="32"/>
          <w:szCs w:val="32"/>
        </w:rPr>
        <w:tab/>
        <w:t>1100.00</w:t>
      </w:r>
      <w:r>
        <w:rPr>
          <w:rStyle w:val="18"/>
          <w:rFonts w:hint="eastAsia" w:ascii="楷体" w:hAnsi="楷体" w:eastAsia="楷体"/>
          <w:spacing w:val="-4"/>
          <w:sz w:val="32"/>
          <w:szCs w:val="32"/>
        </w:rPr>
        <w:tab/>
        <w:t>1527.88</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年度总体目标</w:t>
      </w:r>
      <w:r>
        <w:rPr>
          <w:rStyle w:val="18"/>
          <w:rFonts w:hint="eastAsia" w:ascii="楷体" w:hAnsi="楷体" w:eastAsia="楷体"/>
          <w:spacing w:val="-4"/>
          <w:sz w:val="32"/>
          <w:szCs w:val="32"/>
        </w:rPr>
        <w:tab/>
        <w:t>预期目标</w:t>
      </w:r>
      <w:r>
        <w:rPr>
          <w:rStyle w:val="18"/>
          <w:rFonts w:hint="eastAsia" w:ascii="楷体" w:hAnsi="楷体" w:eastAsia="楷体"/>
          <w:spacing w:val="-4"/>
          <w:sz w:val="32"/>
          <w:szCs w:val="32"/>
        </w:rPr>
        <w:tab/>
        <w:t>实际完成情况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为进一步加强卫生健康人才队伍建设，用于开展卫生健康人才培养培训工作；通过临床研究、药物实验等方式进一步促进中医药事业发展。</w:t>
      </w:r>
      <w:r>
        <w:rPr>
          <w:rStyle w:val="18"/>
          <w:rFonts w:hint="eastAsia" w:ascii="楷体" w:hAnsi="楷体" w:eastAsia="楷体"/>
          <w:spacing w:val="-4"/>
          <w:sz w:val="32"/>
          <w:szCs w:val="32"/>
        </w:rPr>
        <w:tab/>
        <w:t>为进一步加强卫生健康人才队伍建设，用于开展卫生健康人才培养培训工作；通过临床研究、药物实验等方式进一步促进中医药事业发展。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业绩值</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tab/>
        <w:t>指标值设定依据</w:t>
      </w:r>
      <w:r>
        <w:rPr>
          <w:rStyle w:val="18"/>
          <w:rFonts w:hint="eastAsia" w:ascii="楷体" w:hAnsi="楷体" w:eastAsia="楷体"/>
          <w:spacing w:val="-4"/>
          <w:sz w:val="32"/>
          <w:szCs w:val="32"/>
        </w:rPr>
        <w:tab/>
        <w:t>上年完成情况</w:t>
      </w:r>
      <w:r>
        <w:rPr>
          <w:rStyle w:val="18"/>
          <w:rFonts w:hint="eastAsia" w:ascii="楷体" w:hAnsi="楷体" w:eastAsia="楷体"/>
          <w:spacing w:val="-4"/>
          <w:sz w:val="32"/>
          <w:szCs w:val="32"/>
        </w:rPr>
        <w:tab/>
        <w:t>赋分规则</w:t>
      </w:r>
      <w:r>
        <w:rPr>
          <w:rStyle w:val="18"/>
          <w:rFonts w:hint="eastAsia" w:ascii="楷体" w:hAnsi="楷体" w:eastAsia="楷体"/>
          <w:spacing w:val="-4"/>
          <w:sz w:val="32"/>
          <w:szCs w:val="32"/>
        </w:rPr>
        <w:tab/>
        <w:t>佐证资料</w:t>
      </w:r>
      <w:r>
        <w:rPr>
          <w:rStyle w:val="18"/>
          <w:rFonts w:hint="eastAsia" w:ascii="楷体" w:hAnsi="楷体" w:eastAsia="楷体"/>
          <w:spacing w:val="-4"/>
          <w:sz w:val="32"/>
          <w:szCs w:val="32"/>
        </w:rPr>
        <w:tab/>
        <w:t>偏差原因分析及改进措施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年度绩效指标完成情况</w:t>
      </w:r>
      <w:r>
        <w:rPr>
          <w:rStyle w:val="18"/>
          <w:rFonts w:hint="eastAsia" w:ascii="楷体" w:hAnsi="楷体" w:eastAsia="楷体"/>
          <w:spacing w:val="-4"/>
          <w:sz w:val="32"/>
          <w:szCs w:val="32"/>
        </w:rPr>
        <w:tab/>
        <w:t>产出指标</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课题立项数</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&gt;=25项</w:t>
      </w:r>
      <w:r>
        <w:rPr>
          <w:rStyle w:val="18"/>
          <w:rFonts w:hint="eastAsia" w:ascii="楷体" w:hAnsi="楷体" w:eastAsia="楷体"/>
          <w:spacing w:val="-4"/>
          <w:sz w:val="32"/>
          <w:szCs w:val="32"/>
        </w:rPr>
        <w:tab/>
        <w:t>=25项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历史标准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研究生培养人数</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=11人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培养科研人员人数</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&gt;=25人</w:t>
      </w:r>
      <w:r>
        <w:rPr>
          <w:rStyle w:val="18"/>
          <w:rFonts w:hint="eastAsia" w:ascii="楷体" w:hAnsi="楷体" w:eastAsia="楷体"/>
          <w:spacing w:val="-4"/>
          <w:sz w:val="32"/>
          <w:szCs w:val="32"/>
        </w:rPr>
        <w:tab/>
        <w:t>=25人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课题结题评审合格率(%)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课题项目完成及时率（%）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成本指标</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tab/>
        <w:t>劳务费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&lt;=85万元</w:t>
      </w:r>
      <w:r>
        <w:rPr>
          <w:rStyle w:val="18"/>
          <w:rFonts w:hint="eastAsia" w:ascii="楷体" w:hAnsi="楷体" w:eastAsia="楷体"/>
          <w:spacing w:val="-4"/>
          <w:sz w:val="32"/>
          <w:szCs w:val="32"/>
        </w:rPr>
        <w:tab/>
        <w:t>=58.53万元</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tab/>
        <w:t>业务费</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&lt;=900万元</w:t>
      </w:r>
      <w:r>
        <w:rPr>
          <w:rStyle w:val="18"/>
          <w:rFonts w:hint="eastAsia" w:ascii="楷体" w:hAnsi="楷体" w:eastAsia="楷体"/>
          <w:spacing w:val="-4"/>
          <w:sz w:val="32"/>
          <w:szCs w:val="32"/>
        </w:rPr>
        <w:tab/>
        <w:t>=1469.35万元</w:t>
      </w:r>
      <w:r>
        <w:rPr>
          <w:rStyle w:val="18"/>
          <w:rFonts w:hint="eastAsia" w:ascii="楷体" w:hAnsi="楷体" w:eastAsia="楷体"/>
          <w:spacing w:val="-4"/>
          <w:sz w:val="32"/>
          <w:szCs w:val="32"/>
        </w:rPr>
        <w:tab/>
        <w:t>163</w:t>
      </w:r>
      <w:r>
        <w:rPr>
          <w:rStyle w:val="18"/>
          <w:rFonts w:hint="eastAsia" w:ascii="楷体" w:hAnsi="楷体" w:eastAsia="楷体"/>
          <w:spacing w:val="-4"/>
          <w:sz w:val="32"/>
          <w:szCs w:val="32"/>
        </w:rPr>
        <w:tab/>
        <w:t>3.7</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促进中医药发展</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有效促进</w:t>
      </w:r>
      <w:r>
        <w:rPr>
          <w:rStyle w:val="18"/>
          <w:rFonts w:hint="eastAsia" w:ascii="楷体" w:hAnsi="楷体" w:eastAsia="楷体"/>
          <w:spacing w:val="-4"/>
          <w:sz w:val="32"/>
          <w:szCs w:val="32"/>
        </w:rPr>
        <w:tab/>
        <w:t>有效促进</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w:t>
      </w:r>
      <w:r>
        <w:rPr>
          <w:rStyle w:val="18"/>
          <w:rFonts w:hint="eastAsia" w:ascii="楷体" w:hAnsi="楷体" w:eastAsia="楷体"/>
          <w:spacing w:val="-4"/>
          <w:sz w:val="32"/>
          <w:szCs w:val="32"/>
        </w:rPr>
        <w:tab/>
        <w:t>按评判等级赋分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发表核心期刊论文篇数（篇）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&gt;=10篇</w:t>
      </w:r>
      <w:r>
        <w:rPr>
          <w:rStyle w:val="18"/>
          <w:rFonts w:hint="eastAsia" w:ascii="楷体" w:hAnsi="楷体" w:eastAsia="楷体"/>
          <w:spacing w:val="-4"/>
          <w:sz w:val="32"/>
          <w:szCs w:val="32"/>
        </w:rPr>
        <w:tab/>
        <w:t>=11篇</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历史标准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科研人员满意度</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&gt;=85%</w:t>
      </w:r>
      <w:r>
        <w:rPr>
          <w:rStyle w:val="18"/>
          <w:rFonts w:hint="eastAsia" w:ascii="楷体" w:hAnsi="楷体" w:eastAsia="楷体"/>
          <w:spacing w:val="-4"/>
          <w:sz w:val="32"/>
          <w:szCs w:val="32"/>
        </w:rPr>
        <w:tab/>
        <w:t>=97.67%</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计划标准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按照完成比例赋分</w:t>
      </w:r>
      <w:r>
        <w:rPr>
          <w:rStyle w:val="18"/>
          <w:rFonts w:hint="eastAsia" w:ascii="楷体" w:hAnsi="楷体" w:eastAsia="楷体"/>
          <w:spacing w:val="-4"/>
          <w:sz w:val="32"/>
          <w:szCs w:val="32"/>
        </w:rPr>
        <w:tab/>
        <w:t>工作资料</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总分</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93.70分</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通过对自治区重大科技专项项目开展绩效评价，了解和掌握项目实施的具体情况，客观评价项目资金安排的科学性、合理性、规范性和资金使用成效，及时总结项目管理经验，完善项目管理办法，提高项目管理水平和资金的使用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（2）促使项目承担单位根据绩效评价中发现的问题，认真加以整改，及时调整和完善单位的工作计划和绩效目标并加强项目管理，提高管理水平，同时为项目后续资金投入、分配和管理提供决策依据。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本次评价从项目产出、项目成本、项目效益和项目满意度四个维度进行评价，评价对象为2024年度研究院承担的科研项目。</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1.绩效评价依据和原则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依据《中华人民共和国预算法》、《中华人民共和国预算法实施条例》、《项目支出绩效评价管理办法》（财预〔2020〕10号）系列文件的要求，本次绩效评价秉承科学规范、公正公开、分级分类、绩效相关等原则，按照从投入、过程到产出效果和影响的绩效逻辑路径，结合2024年度研究院科研项目实际开展情况，运用定量和定性分析相结合的方法，客观评价项目实施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（1）在数据收集时，采取归口部门报送基础数据，财务部门进行审核的形式，以保证各项指标的真实性。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（3）绩效评价报告应当简明扼要，除了对绩效评价的过程、结果描述外，还应指出问题，并就共性问题提出可操作性改进建议。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本项目共设置产出指标、成本指标、效益指标和满意度指标四个一级指标，并按科学及相关性要求分别设立二级和三级指标。项目绩效评价指标体系，评分表满分100分，见下表：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项目支出绩效评价指标体系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项目产出（40分）</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30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项目成本（20分）</w:t>
      </w:r>
      <w:r>
        <w:rPr>
          <w:rStyle w:val="18"/>
          <w:rFonts w:hint="eastAsia" w:ascii="楷体" w:hAnsi="楷体" w:eastAsia="楷体"/>
          <w:spacing w:val="-4"/>
          <w:sz w:val="32"/>
          <w:szCs w:val="32"/>
        </w:rPr>
        <w:tab/>
        <w:t>经济成本指标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项目效益（20分）</w:t>
      </w:r>
      <w:r>
        <w:rPr>
          <w:rStyle w:val="18"/>
          <w:rFonts w:hint="eastAsia" w:ascii="楷体" w:hAnsi="楷体" w:eastAsia="楷体"/>
          <w:spacing w:val="-4"/>
          <w:sz w:val="32"/>
          <w:szCs w:val="32"/>
        </w:rPr>
        <w:tab/>
        <w:t>社会效益指标</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项目满意度（10分）</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项目执行（10分）</w:t>
      </w:r>
      <w:r>
        <w:rPr>
          <w:rStyle w:val="18"/>
          <w:rFonts w:hint="eastAsia" w:ascii="楷体" w:hAnsi="楷体" w:eastAsia="楷体"/>
          <w:spacing w:val="-4"/>
          <w:sz w:val="32"/>
          <w:szCs w:val="32"/>
        </w:rPr>
        <w:tab/>
        <w:t>项目执行率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在设计绩效评价指标体系时，首先确定总目标，根据权数逐级确定至三级指标的标准值，再分解至每项考查内容。每项考查内容依据实际考查结果评定，其中指标完成值由归口业务部门资料予以评定，指标完成值按照预期指标值评定，根据指标完成值确定指标完成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对绩效评价方法的综合运用，对获取的各类数据进行汇总、分类和分析。对于量化指标，进行量化分析，得出财政支出绩效评价的量化结果；对于定性指标，则通过电话沟通等方法，对项目支出的效果进行定性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度科研项目绩效评价方法是通过对绩效目标与项目实施效果进行比较，综合分析绩效目标实现的程度。详细方法应用如下：我院严格遵循《中共中央国务院关于全面实施预算绩效管理的意见》（中发〔2018〕34号）决策部署及自治区党委、政府工作要求，依据财政部《项目支出绩效评价管理办法》（财预〔2020〕10 号）规定，结合自治区科研项目管理要求实施预算绩效管理。通过定量分析预算执行率（实际支出/预算总额×100%）量化资金使用效率，并以项目申报书、任务合同书约定的目标值作为评价基准。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评价指标体系的评价标准：对于定量指标，采用计划标准，以预先制定的目标、计划、预算、定额等作为评价标准，对比分析项目产出、效益的完成情况。结合设定的评分标准，通过公式计算具体得分。对于定性指标，通过查看项目资料，采集相关数据，评价指标的完成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绩效评价工作按照“准备-实施-总结”流程开展：制定方案，明确指标与标准，梳理预算及项目资料。通过财务核查、产出完成度及受益群体满意度，综合分析形成报告，将结果作为预算编制和管理优化的依据。</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依据《项目支出绩效评价管理办法》（财预〔2020〕10号）文件，绩效评价总分设置为100分，划分为四档：90（含）-100分为优，80（含）-90分为良，60（含）-80分为中，60分以下为差。经综合分析评价，我院项目支出绩效自评得分93.7分，绩效等级评定为“优”。该项目资金分配使用管理整体情况较好。具体得分率及评分情况见下表:</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整体绩效分值</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分值</w:t>
      </w:r>
      <w:r>
        <w:rPr>
          <w:rStyle w:val="18"/>
          <w:rFonts w:hint="eastAsia" w:ascii="楷体" w:hAnsi="楷体" w:eastAsia="楷体"/>
          <w:spacing w:val="-4"/>
          <w:sz w:val="32"/>
          <w:szCs w:val="32"/>
        </w:rPr>
        <w:tab/>
        <w:t>得分率（%）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项目产出</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40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13.7</w:t>
      </w:r>
      <w:r>
        <w:rPr>
          <w:rStyle w:val="18"/>
          <w:rFonts w:hint="eastAsia" w:ascii="楷体" w:hAnsi="楷体" w:eastAsia="楷体"/>
          <w:spacing w:val="-4"/>
          <w:sz w:val="32"/>
          <w:szCs w:val="32"/>
        </w:rPr>
        <w:tab/>
        <w:t>68.5%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项目效益</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20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项目满意度</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项目执行</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合  计</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93.7</w:t>
      </w:r>
      <w:r>
        <w:rPr>
          <w:rStyle w:val="18"/>
          <w:rFonts w:hint="eastAsia" w:ascii="楷体" w:hAnsi="楷体" w:eastAsia="楷体"/>
          <w:spacing w:val="-4"/>
          <w:sz w:val="32"/>
          <w:szCs w:val="32"/>
        </w:rPr>
        <w:tab/>
        <w:t>87.62%</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按照《中华人民共和国预算法》、《中华人民共和国预算法实施条例》、《关于开展自治区本级2023年部门预算编制工作的通知》要求编制。立项符合行业发展规划和政策要求，与部门职责范围相符。本项目与部门内部其他相关项目不重复。部门发展规划及职能文件等归档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项目申请、设立过程符合相关要求，严格按照审批流程准备符合要求的文件、材料；根据决算依据编制工作计划和经费预算，经过与部门项目分管领导沟通、筛选确定经费预算计划，确定最终预算方案。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 xml:space="preserve">    项目产出评价指标权重分值共计40分，根据评分标准得分40分，得分率100 %，具体如下：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业绩值</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tab/>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产出指标</w:t>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课题立项数</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&gt;=25项</w:t>
      </w:r>
      <w:r>
        <w:rPr>
          <w:rStyle w:val="18"/>
          <w:rFonts w:hint="eastAsia" w:ascii="楷体" w:hAnsi="楷体" w:eastAsia="楷体"/>
          <w:spacing w:val="-4"/>
          <w:sz w:val="32"/>
          <w:szCs w:val="32"/>
        </w:rPr>
        <w:tab/>
        <w:t>=25项</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研究生培养人数</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&gt;=10人</w:t>
      </w:r>
      <w:r>
        <w:rPr>
          <w:rStyle w:val="18"/>
          <w:rFonts w:hint="eastAsia" w:ascii="楷体" w:hAnsi="楷体" w:eastAsia="楷体"/>
          <w:spacing w:val="-4"/>
          <w:sz w:val="32"/>
          <w:szCs w:val="32"/>
        </w:rPr>
        <w:tab/>
        <w:t>=11人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数量指标</w:t>
      </w:r>
      <w:r>
        <w:rPr>
          <w:rStyle w:val="18"/>
          <w:rFonts w:hint="eastAsia" w:ascii="楷体" w:hAnsi="楷体" w:eastAsia="楷体"/>
          <w:spacing w:val="-4"/>
          <w:sz w:val="32"/>
          <w:szCs w:val="32"/>
        </w:rPr>
        <w:tab/>
        <w:t>培养科研人员人数</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tab/>
        <w:t>&gt;=25人</w:t>
      </w:r>
      <w:r>
        <w:rPr>
          <w:rStyle w:val="18"/>
          <w:rFonts w:hint="eastAsia" w:ascii="楷体" w:hAnsi="楷体" w:eastAsia="楷体"/>
          <w:spacing w:val="-4"/>
          <w:sz w:val="32"/>
          <w:szCs w:val="32"/>
        </w:rPr>
        <w:tab/>
        <w:t>=25人</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5</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质量指标</w:t>
      </w:r>
      <w:r>
        <w:rPr>
          <w:rStyle w:val="18"/>
          <w:rFonts w:hint="eastAsia" w:ascii="楷体" w:hAnsi="楷体" w:eastAsia="楷体"/>
          <w:spacing w:val="-4"/>
          <w:sz w:val="32"/>
          <w:szCs w:val="32"/>
        </w:rPr>
        <w:tab/>
        <w:t>课题结题评审合格率(%)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=90%</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ab/>
        <w:t>时效指标</w:t>
      </w:r>
      <w:r>
        <w:rPr>
          <w:rStyle w:val="18"/>
          <w:rFonts w:hint="eastAsia" w:ascii="楷体" w:hAnsi="楷体" w:eastAsia="楷体"/>
          <w:spacing w:val="-4"/>
          <w:sz w:val="32"/>
          <w:szCs w:val="32"/>
        </w:rPr>
        <w:tab/>
        <w:t>课题项目完成及时率（%）</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&gt;=90%</w:t>
      </w:r>
      <w:r>
        <w:rPr>
          <w:rStyle w:val="18"/>
          <w:rFonts w:hint="eastAsia" w:ascii="楷体" w:hAnsi="楷体" w:eastAsia="楷体"/>
          <w:spacing w:val="-4"/>
          <w:sz w:val="32"/>
          <w:szCs w:val="32"/>
        </w:rPr>
        <w:tab/>
        <w:t>=95%</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（1）课题立项数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根据年初绩效目标，本年课题立项共计25项；等于目标值，故得10分，得分率100%。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（2）研究生培养数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根据年初绩效目标，本年研究生培养共计11人；大于目标值，故得5分，得分率100%。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（3）培养科研人员人数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根据年初绩效目标，本年培养科研人员人数共计25人；等于目标值，故得5分，得分率100%。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（1）课题结题评审合格率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根据年初绩效目标，本年课题结题评审合格率90%；等于目标值，故得10分，得分率100%。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（1）课题项目完成及时率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根据年初绩效目标，本年课题项目完成及时率95%；大于目标值，故得10分，得分率100%。</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1.社会效益指标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（1）促进中医药发展指标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根据年初绩效目标，本年科研项目紧密围绕中医药特色，切实有效促进中医药事业高质量发展，故得10分，得分率100%。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（2）发表核心期刊论文篇数指标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根据年初绩效目标，本年发表核心期刊论文11篇；大于目标值，得10分，得分率100%。</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一级指标</w:t>
      </w:r>
      <w:r>
        <w:rPr>
          <w:rStyle w:val="18"/>
          <w:rFonts w:hint="eastAsia" w:ascii="楷体" w:hAnsi="楷体" w:eastAsia="楷体"/>
          <w:spacing w:val="-4"/>
          <w:sz w:val="32"/>
          <w:szCs w:val="32"/>
        </w:rPr>
        <w:tab/>
        <w:t>二级指标</w:t>
      </w:r>
      <w:r>
        <w:rPr>
          <w:rStyle w:val="18"/>
          <w:rFonts w:hint="eastAsia" w:ascii="楷体" w:hAnsi="楷体" w:eastAsia="楷体"/>
          <w:spacing w:val="-4"/>
          <w:sz w:val="32"/>
          <w:szCs w:val="32"/>
        </w:rPr>
        <w:tab/>
        <w:t>三级指标</w:t>
      </w:r>
      <w:r>
        <w:rPr>
          <w:rStyle w:val="18"/>
          <w:rFonts w:hint="eastAsia" w:ascii="楷体" w:hAnsi="楷体" w:eastAsia="楷体"/>
          <w:spacing w:val="-4"/>
          <w:sz w:val="32"/>
          <w:szCs w:val="32"/>
        </w:rPr>
        <w:tab/>
        <w:t>权重</w:t>
      </w:r>
      <w:r>
        <w:rPr>
          <w:rStyle w:val="18"/>
          <w:rFonts w:hint="eastAsia" w:ascii="楷体" w:hAnsi="楷体" w:eastAsia="楷体"/>
          <w:spacing w:val="-4"/>
          <w:sz w:val="32"/>
          <w:szCs w:val="32"/>
        </w:rPr>
        <w:tab/>
        <w:t>目标值</w:t>
      </w:r>
      <w:r>
        <w:rPr>
          <w:rStyle w:val="18"/>
          <w:rFonts w:hint="eastAsia" w:ascii="楷体" w:hAnsi="楷体" w:eastAsia="楷体"/>
          <w:spacing w:val="-4"/>
          <w:sz w:val="32"/>
          <w:szCs w:val="32"/>
        </w:rPr>
        <w:tab/>
        <w:t>业绩值</w:t>
      </w:r>
      <w:r>
        <w:rPr>
          <w:rStyle w:val="18"/>
          <w:rFonts w:hint="eastAsia" w:ascii="楷体" w:hAnsi="楷体" w:eastAsia="楷体"/>
          <w:spacing w:val="-4"/>
          <w:sz w:val="32"/>
          <w:szCs w:val="32"/>
        </w:rPr>
        <w:tab/>
        <w:t>完成率</w:t>
      </w:r>
      <w:r>
        <w:rPr>
          <w:rStyle w:val="18"/>
          <w:rFonts w:hint="eastAsia" w:ascii="楷体" w:hAnsi="楷体" w:eastAsia="楷体"/>
          <w:spacing w:val="-4"/>
          <w:sz w:val="32"/>
          <w:szCs w:val="32"/>
        </w:rPr>
        <w:tab/>
        <w:t>指标得分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满意度指标</w:t>
      </w:r>
      <w:r>
        <w:rPr>
          <w:rStyle w:val="18"/>
          <w:rFonts w:hint="eastAsia" w:ascii="楷体" w:hAnsi="楷体" w:eastAsia="楷体"/>
          <w:spacing w:val="-4"/>
          <w:sz w:val="32"/>
          <w:szCs w:val="32"/>
        </w:rPr>
        <w:tab/>
        <w:t>满意度指标</w:t>
      </w:r>
      <w:r>
        <w:rPr>
          <w:rStyle w:val="18"/>
          <w:rFonts w:hint="eastAsia" w:ascii="楷体" w:hAnsi="楷体" w:eastAsia="楷体"/>
          <w:spacing w:val="-4"/>
          <w:sz w:val="32"/>
          <w:szCs w:val="32"/>
        </w:rPr>
        <w:tab/>
        <w:t>科研人员满意度</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tab/>
        <w:t>&gt;=85%</w:t>
      </w:r>
      <w:r>
        <w:rPr>
          <w:rStyle w:val="18"/>
          <w:rFonts w:hint="eastAsia" w:ascii="楷体" w:hAnsi="楷体" w:eastAsia="楷体"/>
          <w:spacing w:val="-4"/>
          <w:sz w:val="32"/>
          <w:szCs w:val="32"/>
        </w:rPr>
        <w:tab/>
        <w:t>=97.67%</w:t>
      </w:r>
      <w:r>
        <w:rPr>
          <w:rStyle w:val="18"/>
          <w:rFonts w:hint="eastAsia" w:ascii="楷体" w:hAnsi="楷体" w:eastAsia="楷体"/>
          <w:spacing w:val="-4"/>
          <w:sz w:val="32"/>
          <w:szCs w:val="32"/>
        </w:rPr>
        <w:tab/>
        <w:t>100%</w:t>
      </w:r>
      <w:r>
        <w:rPr>
          <w:rStyle w:val="18"/>
          <w:rFonts w:hint="eastAsia" w:ascii="楷体" w:hAnsi="楷体" w:eastAsia="楷体"/>
          <w:spacing w:val="-4"/>
          <w:sz w:val="32"/>
          <w:szCs w:val="32"/>
        </w:rPr>
        <w:tab/>
        <w:t>10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根据年初绩效目标，本年科研人员满意度97.67%，大于目标值，得10分，得分率100%。</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（一）项目整体实施进展情况、取得成效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2024年，我院积极推动同内地高校、机构、企业等开展合作项目，积累产学研融合发展经验，目前与内地单位联合申报了国家科技部“中医药现代化”重点专项、“常见多发病防治研究”重点专项等多个项目。同时，已和内地单位签署横向项目协议4项。我院黎立团队获批“新疆医科大学科研创新团队”，吕刚团队获批“新疆医科大学国家级科研创新人才培育项目及科研创新团队培育项目”，廖军团队获批“新疆医科大学重大科研项目培育项目”，并获得经费资助。在技术成果转化工作中，我院积极参加人才培训，已有4人参加了西北区域技术转移人才培训，并获得了相关证书，初步形成了技术转化人才队伍。组织申报自治区科技进步奖7项、自治区专利奖2项、华夏医学科技奖4项；中国民族医药协会科学技术奖1项。本年度获得自治区科学技术进步奖三等奖1项：刘红霞主持的“药-浴-罐-养中医药防治银屑病的临床研究”。社会效益指标“发表核心期刊论文篇数”超额完成，围绕中医药科学技术研究，有效促进中医药发展，为中医药传承创新提供持续支撑。</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加强项目过程管理，我院制定了《新疆医科大学附属中医医院纵向科研项目经费管理办法试行》、《新疆医科大学附属中医医院科研项目经费报销实施细则》等科研项目管理制度，确保项目过程规范可控。严格资金监管与动态监控，强化目标导向的过程管控，保障产出质量与效益达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预算管理精细化程度有待提高。绩效目标设置不够细化，项目前期工作不全面，没有深入细致科学规划地做好各项前期工作，项目实施前期已根据项目建设内容设置绩效目标，但项目绩效目标设置过于笼统，不够细化，在实际实施绩效监控和绩效评价时较为困难。绩效目标的设置应符合量化、细化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2.部分项目存在资金执行效率迟缓，跨部门协作效率有待加强。在实际工作中，仍存在信息沟通不畅、职责界限不清等问题，影响了工作效率和项目执行效果。</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建议财政厅相关业务处室，就绩效管理的相关政策和制度开展有针对性的培训，将绩效管理和财务管理有机结合落实到位，以提高专项资金使用的规范性。</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 xml:space="preserve">    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C94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0</TotalTime>
  <ScaleCrop>false</ScaleCrop>
  <LinksUpToDate>false</LinksUpToDate>
  <CharactersWithSpaces>760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2025-08-22T05:20:30Z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160D1BA1944349B08C48068401F6E698</vt:lpwstr>
  </property>
</Properties>
</file>