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新疆林科院园林绿化研究所项目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新疆林科院园林绿化研究所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新疆林科院园林绿化研究所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张东亚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前国际种业竞争，实质上是种业科技的竞争，核心是育种创新的竞争。按照国家种业发展框架相关要求，鼓励科研人员进行创新性育种研发，是为了加快提升我国种业竞争力。围绕种业发展国家总目标，在新疆开展抗寒苹果良种选育及育种，国内外优良品种引进新疆，快速转化，筛选出适应新疆栽培的优良品种，为新疆提供丰富的种质资源，开展区域化特色种植，促进农民增收是我院科研工作的任务和职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为引进保存的不同成熟期、不同口感、不同风味以及特殊香味、观赏型抗寒苹果良种（品系），开展种质资源评价与筛选，优选品种1-2种，拟解决苹果在北疆陆地直立越冬的难题，并进行推广种植，提高产量，延长市场销售期，扩大销售范围，最终提高特色优良抗寒苹果在鲜果销售市场所占有的份额。围绕环塔盆地、天山北麓和吐哈盆地，对户太葡萄及其他鲜食葡萄开展生太适应性观测调查，采用田间和室内生理试验相结合的方法，筛选出抗寒性强的3-5个品种。对新疆湿地生态监测的组织开展、分析评价等工作进行统一管理，为湿地的保护、管理、决策提供数据支持。补植保存林木良种，通过抚育管理正常生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2024年新疆林科院园林绿化研究所项目年初预算经费1001万元，为基本户自有资金，截止2024年12月31日项目资金已到位753.83万元，到位率75.31%。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截止2024年12月31日，该专项预算资金执行率为75.31%。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放绩效人数&gt;=10人；发放劳务费人数&gt;=5人；购置材料批次&gt;=3次&gt;=3次；筛选具有发展潜力的抗寒苹果品种或优良单株&gt;=1个；引进户太及其他鲜食葡萄新品种，丰富葡萄资源类型&gt;=3个；湿地公园技术本底资料上传&gt;=20个保护主体%；材料质量合格率&gt;=85%；项目按时完成率&gt;=95%；发表论文数量&gt;=2篇；科研人员满意度&gt;=95%；软件功能用户使用满意度&gt;=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月引进保存的不同成熟期、不同口感、不同风味以及特殊香味、观赏型抗寒苹果良种（品系），开展种质资源评价与筛选，优选品种1种。围绕环塔盆地、天山北麓和吐哈盆地，对户太葡萄及其他鲜食葡萄开展生太适应性观测调查，采用田间和室内生理试验相结合的方法，筛选出抗寒性强的2个品种。对新疆湿地生态监测的组织开展、分析评价等工作进行统一管理，为湿地的保护、管理、决策提供数据支持。补植保存林木良种，通过抚育管理正常生长。</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新疆林科院园林绿化研究所项目开展绩效评价，了解和掌握项目实施的具体情况，客观评价项目资金安排的科学性、合理性、规范性和资金使用成效，及时总结项目管理经验，完善项目管理办法，提高项目管理水平和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本次评价从项目决策、项目管理、项目产出、项目效益四个维度进行评价，评价对象为2024年度立项的新疆林科院园林绿化研究所项目支出，涉及资金1001万元。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疆林科院园林绿化研究所项目支出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本项目共设置项目决策、项目过程、项目产出、项目效益四个一级指标，并按科学及相关性要求分别设立二级和三级指标。项目绩效评价指标体系，评分表满分100分，见下表：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项目决策（20分）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资金投入</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项目过程（20分）</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项目产出（40分）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项目效果（20分）</w:t>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新疆林科院园林绿化研究所项目绩效评价方法是通过对绩效目标与项目实施效果进行比较，综合分析绩效目标实现的程度。详细方法应用如下：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计划项目得分88分，绩效等级评定为“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整体绩效分值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19</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33</w:t>
      </w:r>
      <w:r>
        <w:rPr>
          <w:rStyle w:val="18"/>
          <w:rFonts w:hint="eastAsia" w:ascii="楷体" w:hAnsi="楷体" w:eastAsia="楷体"/>
          <w:spacing w:val="-4"/>
          <w:sz w:val="32"/>
          <w:szCs w:val="32"/>
        </w:rPr>
        <w:tab/>
        <w:t>82.5%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项目效果</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16</w:t>
      </w:r>
      <w:r>
        <w:rPr>
          <w:rStyle w:val="18"/>
          <w:rFonts w:hint="eastAsia" w:ascii="楷体" w:hAnsi="楷体" w:eastAsia="楷体"/>
          <w:spacing w:val="-4"/>
          <w:sz w:val="32"/>
          <w:szCs w:val="32"/>
        </w:rPr>
        <w:tab/>
        <w:t>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  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88</w:t>
      </w:r>
      <w:r>
        <w:rPr>
          <w:rStyle w:val="18"/>
          <w:rFonts w:hint="eastAsia" w:ascii="楷体" w:hAnsi="楷体" w:eastAsia="楷体"/>
          <w:spacing w:val="-4"/>
          <w:sz w:val="32"/>
          <w:szCs w:val="32"/>
        </w:rPr>
        <w:tab/>
        <w:t>88%</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（20分）　</w:t>
      </w:r>
      <w:r>
        <w:rPr>
          <w:rStyle w:val="18"/>
          <w:rFonts w:hint="eastAsia" w:ascii="楷体" w:hAnsi="楷体" w:eastAsia="楷体"/>
          <w:spacing w:val="-4"/>
          <w:sz w:val="32"/>
          <w:szCs w:val="32"/>
        </w:rPr>
        <w:tab/>
        <w:t>A1项目立项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（6分）</w:t>
      </w:r>
      <w:r>
        <w:rPr>
          <w:rStyle w:val="18"/>
          <w:rFonts w:hint="eastAsia" w:ascii="楷体" w:hAnsi="楷体" w:eastAsia="楷体"/>
          <w:spacing w:val="-4"/>
          <w:sz w:val="32"/>
          <w:szCs w:val="32"/>
        </w:rPr>
        <w:tab/>
        <w:t>充分合规</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A2绩效目标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（6分）</w:t>
      </w:r>
      <w:r>
        <w:rPr>
          <w:rStyle w:val="18"/>
          <w:rFonts w:hint="eastAsia" w:ascii="楷体" w:hAnsi="楷体" w:eastAsia="楷体"/>
          <w:spacing w:val="-4"/>
          <w:sz w:val="32"/>
          <w:szCs w:val="32"/>
        </w:rPr>
        <w:tab/>
        <w:t>合理明确</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A3资金投入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（8分）</w:t>
      </w:r>
      <w:r>
        <w:rPr>
          <w:rStyle w:val="18"/>
          <w:rFonts w:hint="eastAsia" w:ascii="楷体" w:hAnsi="楷体" w:eastAsia="楷体"/>
          <w:spacing w:val="-4"/>
          <w:sz w:val="32"/>
          <w:szCs w:val="32"/>
        </w:rPr>
        <w:tab/>
        <w:t>科学合理</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按照《林业科学院委员会会议纪要》（〔2023〕15号），审议通过“关于新疆林业科学院2024年度部门预算报表草案编制审核报送的请示”。项目立项符合国家法律法规、国民经济发展规划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2024年新疆林科院园林绿化研究所项目立项工作严格按照《新疆林科院科研项目及经费管理办法》（新林科院函〔2024〕34号）相关规定程序立项，审批文件、材料符合相关要求。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项目事前已经过必要的可行性研究、绩效评估、集体决策。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支出绩效目标表》该项目有绩效目标。该项目支出绩效目标表、实施方案、项目合同书、项目自评报告或项目年度执行情况报告等资料齐全，项目绩效目标与实际工作内容相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2024年新疆林科院园林绿化研究所项目绩效目标总任务为各课题计划完成的绩效目标合计，目标任务与计划数相对应。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2024年新疆林科院园林绿化研究所项目各课题已按要求进行了预算编制，预算的编制有依据且与项目内容及工作任务相匹配，并经过财务专家评审。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按照《自治区财政科研项目资金管理办法》中“合理确定资金拨付计划。自治区科技厅要根据不同类型项目特点、研究进度、资金需求等，合理制定财政科研项目资金拨付计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该指标满分为8分，根据评分标准得8分。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B项目过程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（20分）</w:t>
      </w:r>
      <w:r>
        <w:rPr>
          <w:rStyle w:val="18"/>
          <w:rFonts w:hint="eastAsia" w:ascii="楷体" w:hAnsi="楷体" w:eastAsia="楷体"/>
          <w:spacing w:val="-4"/>
          <w:sz w:val="32"/>
          <w:szCs w:val="32"/>
        </w:rPr>
        <w:tab/>
        <w:t>B1资金管理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（10分）</w:t>
      </w:r>
      <w:r>
        <w:rPr>
          <w:rStyle w:val="18"/>
          <w:rFonts w:hint="eastAsia" w:ascii="楷体" w:hAnsi="楷体" w:eastAsia="楷体"/>
          <w:spacing w:val="-4"/>
          <w:sz w:val="32"/>
          <w:szCs w:val="32"/>
        </w:rPr>
        <w:tab/>
        <w:t>B11 资金到位率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B12 预算执行率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B13 资金使用合规性</w:t>
      </w:r>
      <w:r>
        <w:rPr>
          <w:rStyle w:val="18"/>
          <w:rFonts w:hint="eastAsia" w:ascii="楷体" w:hAnsi="楷体" w:eastAsia="楷体"/>
          <w:spacing w:val="-4"/>
          <w:sz w:val="32"/>
          <w:szCs w:val="32"/>
        </w:rPr>
        <w:tab/>
        <w:t>合规</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B3组织实施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（10分）</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制定和执行健全有效</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（1）B11资金到位率指标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资金到位率=（实际到位资金/预算资金）×100%。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项目总预算资金为1001万元，到位753.83万元，到位率75.31%。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（2）B12预算执行率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预算执行率=（实际使用资金/到位资金）×100%。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根据项目拨款情况统计表，截止2024年12月31日，预算执行率为100%。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（3）B13资金使用合规性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根据各项目单位提供的资金执行情况统计表，项目相关单位在资金使用方面符合国家财经法规和财务管理制度以及有关专项资金管理办法的规定。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2024年新疆林科院园林绿化研究所项目实施方案完整、且按年度对指标完成情况进行了细化，无重大调整。各项目均在实施初期阶段，基本能够按照实施方案和计划执行。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项目实施遵守《中华人民共和国预算法》和《新疆林科院科研项目及经费管理办法》（新林科院函〔2024〕34号）相关规定；项目合同书等资料齐全。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项目产出评价指标权重分值共计40分，根据评分标准得分40分，失分7分，得分33分，得分率82.5%，具体如下：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情况</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C项目产出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C1数量指标（30分）</w:t>
      </w:r>
      <w:r>
        <w:rPr>
          <w:rStyle w:val="18"/>
          <w:rFonts w:hint="eastAsia" w:ascii="楷体" w:hAnsi="楷体" w:eastAsia="楷体"/>
          <w:spacing w:val="-4"/>
          <w:sz w:val="32"/>
          <w:szCs w:val="32"/>
        </w:rPr>
        <w:tab/>
        <w:t>发放绩效人数</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=16人</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发放劳务费人数</w:t>
      </w:r>
      <w:r>
        <w:rPr>
          <w:rStyle w:val="18"/>
          <w:rFonts w:hint="eastAsia" w:ascii="楷体" w:hAnsi="楷体" w:eastAsia="楷体"/>
          <w:spacing w:val="-4"/>
          <w:sz w:val="32"/>
          <w:szCs w:val="32"/>
        </w:rPr>
        <w:tab/>
        <w:t>&gt;=5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=5人</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购置材料批次</w:t>
      </w:r>
      <w:r>
        <w:rPr>
          <w:rStyle w:val="18"/>
          <w:rFonts w:hint="eastAsia" w:ascii="楷体" w:hAnsi="楷体" w:eastAsia="楷体"/>
          <w:spacing w:val="-4"/>
          <w:sz w:val="32"/>
          <w:szCs w:val="32"/>
        </w:rPr>
        <w:tab/>
        <w:t>&gt;=3次</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=3次</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筛选具有发展潜力的抗寒苹果品种或优良单株</w:t>
      </w:r>
      <w:r>
        <w:rPr>
          <w:rStyle w:val="18"/>
          <w:rFonts w:hint="eastAsia" w:ascii="楷体" w:hAnsi="楷体" w:eastAsia="楷体"/>
          <w:spacing w:val="-4"/>
          <w:sz w:val="32"/>
          <w:szCs w:val="32"/>
        </w:rPr>
        <w:tab/>
        <w:t>&gt;=1个</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=3个</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引进户太及其他鲜食葡萄新品种，丰富葡萄资源类型</w:t>
      </w:r>
      <w:r>
        <w:rPr>
          <w:rStyle w:val="18"/>
          <w:rFonts w:hint="eastAsia" w:ascii="楷体" w:hAnsi="楷体" w:eastAsia="楷体"/>
          <w:spacing w:val="-4"/>
          <w:sz w:val="32"/>
          <w:szCs w:val="32"/>
        </w:rPr>
        <w:tab/>
        <w:t>&gt;=3个</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=4个</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湿地公园技术本底资料上传</w:t>
      </w:r>
      <w:r>
        <w:rPr>
          <w:rStyle w:val="18"/>
          <w:rFonts w:hint="eastAsia" w:ascii="楷体" w:hAnsi="楷体" w:eastAsia="楷体"/>
          <w:spacing w:val="-4"/>
          <w:sz w:val="32"/>
          <w:szCs w:val="32"/>
        </w:rPr>
        <w:tab/>
        <w:t>&gt;=20个保护主体</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20个保护主体</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（5分）</w:t>
      </w:r>
      <w:r>
        <w:rPr>
          <w:rStyle w:val="18"/>
          <w:rFonts w:hint="eastAsia" w:ascii="楷体" w:hAnsi="楷体" w:eastAsia="楷体"/>
          <w:spacing w:val="-4"/>
          <w:sz w:val="32"/>
          <w:szCs w:val="32"/>
        </w:rPr>
        <w:tab/>
        <w:t>材料质量合格率</w:t>
      </w:r>
      <w:r>
        <w:rPr>
          <w:rStyle w:val="18"/>
          <w:rFonts w:hint="eastAsia" w:ascii="楷体" w:hAnsi="楷体" w:eastAsia="楷体"/>
          <w:spacing w:val="-4"/>
          <w:sz w:val="32"/>
          <w:szCs w:val="32"/>
        </w:rPr>
        <w:tab/>
        <w:t>&gt;=85%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C3时效指标（5分）</w:t>
      </w:r>
      <w:r>
        <w:rPr>
          <w:rStyle w:val="18"/>
          <w:rFonts w:hint="eastAsia" w:ascii="楷体" w:hAnsi="楷体" w:eastAsia="楷体"/>
          <w:spacing w:val="-4"/>
          <w:sz w:val="32"/>
          <w:szCs w:val="32"/>
        </w:rPr>
        <w:tab/>
        <w:t>项目按时完成率</w:t>
      </w:r>
      <w:r>
        <w:rPr>
          <w:rStyle w:val="18"/>
          <w:rFonts w:hint="eastAsia" w:ascii="楷体" w:hAnsi="楷体" w:eastAsia="楷体"/>
          <w:spacing w:val="-4"/>
          <w:sz w:val="32"/>
          <w:szCs w:val="32"/>
        </w:rPr>
        <w:tab/>
        <w:t>&gt;=95%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（1）绩效发放人数（人）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根据年初绩效目标，绩效发放人数16人，大于目标值，故得4分,得分率80%。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（2）发放劳务费人数（人）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根据年初绩效目标，发放劳务费人数5人，等于目标值，故得4分，得分率80%。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（2）购置材料批次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根据年初绩效目标，购置材料批次3次，等于目标值，故得4分，得分率80%。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（4）筛选具有发展潜力的抗寒苹果品种或优良单株</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根据年初绩效目标，筛选具有发展潜力的抗寒苹果品种或优良单株3个，大于目标值，故得4分,得分率80%。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（5）引进户太及其他鲜食葡萄新品种，丰富葡萄资源类型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根据年初绩效目标，引进户太及其他鲜食葡萄新品种，丰富葡萄资源类型4个，大于目标值，故得4分,得分率80%。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（6）湿地公园技术本底资料上传（%）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根据年初绩效目标，湿地公园技术本底资料上传20个保护主体，等于目标值，故得4分,得分率80%。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（7）材料质量合格率（%）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根据年初绩效目标，材料质量合格率等于90%，大于目标值，故得4分,得分率80%。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（8）项目按时完成率（%）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根据年初绩效目标，项目按时完成率等于95%，等于目标值，故得5分,得分率100%。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D项目效果(10分）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发表论文数（篇）</w:t>
      </w:r>
      <w:r>
        <w:rPr>
          <w:rStyle w:val="18"/>
          <w:rFonts w:hint="eastAsia" w:ascii="楷体" w:hAnsi="楷体" w:eastAsia="楷体"/>
          <w:spacing w:val="-4"/>
          <w:sz w:val="32"/>
          <w:szCs w:val="32"/>
        </w:rPr>
        <w:tab/>
        <w:t>&gt;=2篇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（1）发表论文数量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根据年初绩效目标，发表论文数量2篇，等于目标值，故得80分,得分率80%。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该指标满分为10分，根据评分标准得8分。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D项目效果(10分）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科研人员满意度</w:t>
      </w:r>
      <w:r>
        <w:rPr>
          <w:rStyle w:val="18"/>
          <w:rFonts w:hint="eastAsia" w:ascii="楷体" w:hAnsi="楷体" w:eastAsia="楷体"/>
          <w:spacing w:val="-4"/>
          <w:sz w:val="32"/>
          <w:szCs w:val="32"/>
        </w:rPr>
        <w:tab/>
        <w:t>&gt;=95%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软件功能用户使用满意度</w:t>
      </w:r>
      <w:r>
        <w:rPr>
          <w:rStyle w:val="18"/>
          <w:rFonts w:hint="eastAsia" w:ascii="楷体" w:hAnsi="楷体" w:eastAsia="楷体"/>
          <w:spacing w:val="-4"/>
          <w:sz w:val="32"/>
          <w:szCs w:val="32"/>
        </w:rPr>
        <w:tab/>
        <w:t>&gt;=80%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（1）科研人员满意度（%）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根据项目报送的项目绩效自评价报告，科研人员满意度=95%，完成目标值，故得4分，得分率80%。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（2）软件功能用户使用满意度（%）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根据项目报送的项目绩效自评价报告，软件功能用户使用满意度=90%，完成目标值，故得4分，得分率80%。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主要经验及做法：优化资金使用计划，加强阶段性支出监管，确保后续年度预算执行效率。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存在的问题及原因分析：执行不力、外部因素等。  </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优化预算编制、加强过程监督；加强资金使用效率管理，确保预算执行与项目进度匹配。</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9F321CE"/>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2025-08-22T05:21:15Z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