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自治区财政项目支出绩效自评报告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楷体" w:hAnsi="楷体" w:eastAsia="楷体"/>
          <w:spacing w:val="-4"/>
          <w:sz w:val="32"/>
          <w:szCs w:val="32"/>
        </w:rPr>
        <w:t>2024</w:t>
      </w:r>
      <w:r>
        <w:rPr>
          <w:rFonts w:hint="eastAsia" w:hAnsi="宋体" w:eastAsia="仿宋_GB2312" w:cs="宋体"/>
          <w:kern w:val="0"/>
          <w:sz w:val="36"/>
          <w:szCs w:val="36"/>
        </w:rPr>
        <w:t xml:space="preserve">  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bookmarkStart w:id="0" w:name="_GoBack"/>
      <w:bookmarkEnd w:id="0"/>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楷体" w:hAnsi="楷体" w:eastAsia="楷体"/>
          <w:spacing w:val="-4"/>
          <w:sz w:val="32"/>
          <w:szCs w:val="32"/>
        </w:rPr>
        <w:t>新疆林科院造林治沙研究所项目</w:t>
      </w:r>
    </w:p>
    <w:p>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8"/>
          <w:rFonts w:hint="eastAsia" w:ascii="楷体" w:hAnsi="楷体" w:eastAsia="楷体"/>
          <w:spacing w:val="-4"/>
          <w:sz w:val="28"/>
          <w:szCs w:val="28"/>
        </w:rPr>
        <w:t>新疆林科院造林治沙研究所</w:t>
      </w:r>
    </w:p>
    <w:p>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新疆林科院造林治沙研究所</w:t>
      </w:r>
    </w:p>
    <w:p>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8"/>
          <w:rFonts w:hint="eastAsia" w:ascii="楷体" w:hAnsi="楷体" w:eastAsia="楷体"/>
          <w:spacing w:val="-4"/>
          <w:sz w:val="32"/>
          <w:szCs w:val="32"/>
        </w:rPr>
        <w:t>宁虎森</w:t>
      </w:r>
    </w:p>
    <w:p>
      <w:pPr>
        <w:spacing w:line="540" w:lineRule="exact"/>
        <w:ind w:left="273" w:firstLine="567"/>
        <w:rPr>
          <w:rStyle w:val="18"/>
          <w:rFonts w:ascii="楷体" w:hAnsi="楷体" w:eastAsia="楷体"/>
          <w:spacing w:val="-4"/>
          <w:sz w:val="32"/>
          <w:szCs w:val="32"/>
        </w:rPr>
      </w:pPr>
      <w:r>
        <w:rPr>
          <w:rFonts w:hint="eastAsia" w:hAnsi="宋体" w:eastAsia="仿宋_GB2312" w:cs="宋体"/>
          <w:kern w:val="0"/>
          <w:sz w:val="36"/>
          <w:szCs w:val="36"/>
        </w:rPr>
        <w:t>填报时间：</w:t>
      </w:r>
      <w:r>
        <w:rPr>
          <w:rStyle w:val="18"/>
          <w:rFonts w:hint="eastAsia" w:ascii="楷体" w:hAnsi="楷体" w:eastAsia="楷体"/>
          <w:spacing w:val="-4"/>
          <w:sz w:val="32"/>
          <w:szCs w:val="32"/>
        </w:rPr>
        <w:t>2025年02月27日</w:t>
      </w:r>
    </w:p>
    <w:p>
      <w:pPr>
        <w:spacing w:line="700" w:lineRule="exact"/>
        <w:ind w:firstLine="708" w:firstLineChars="236"/>
        <w:jc w:val="left"/>
        <w:rPr>
          <w:rFonts w:hAnsi="宋体" w:eastAsia="仿宋_GB2312" w:cs="宋体"/>
          <w:kern w:val="0"/>
          <w:sz w:val="30"/>
          <w:szCs w:val="30"/>
        </w:rPr>
      </w:pPr>
    </w:p>
    <w:p>
      <w:pPr>
        <w:spacing w:line="540" w:lineRule="exact"/>
        <w:rPr>
          <w:rStyle w:val="18"/>
          <w:rFonts w:ascii="黑体" w:hAnsi="黑体" w:eastAsia="黑体"/>
          <w:b w:val="0"/>
          <w:spacing w:val="-4"/>
          <w:sz w:val="32"/>
          <w:szCs w:val="32"/>
        </w:rPr>
      </w:pP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一、基本情况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（一）项目概况。包括项目背景、主要内容及实施情况、资金投入和使用情况等。</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1.主要内容及实施情况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新疆林科院造林治沙研究所承担节水林业技术研究、防沙治沙技术研究、防护林研究、荒漠化环境及动态监测、荒漠林生物防治、苗木培育、抗旱树种选育。基于阿克苏河流域生态环境背景，针对阿克苏河流域山水林田湖草沙系统状况，辨析系统协调发展的驱动要素与重大生态环境问题；重点围绕阿克苏河流域山水林田湖草沙一体化保护修复项目，探索系统一体化保护和修复的生态工程技术与维护机制；研发形成适宜荒漠绿洲区水土高效利用和生态安全屏障构建的关键技术；集成阿克苏河流域山水林田湖草沙一体化保护修复维持和综合管理的技术体系与模式，建立示范区，服务、指导、应用于生态修复工程的实施，为区域生态建设和社会经济协调发展提供技术支撑和实践范例。利用"空-天-地"一体化技术手段，集成"点-线-面"多尺度研究方法，在环塔里木盆地及4个典型区开展以盐碱化、沙漠化为重点的荒漠化类型、程度和时空特征的综合科学考察。以新疆退化生态系统自然恢复潜力为入手点，诊断新疆荒漠化地区生态系统自然恢复的关键限制因子及其影响机制。基于“水、土、气、生”等监测数据构建综合评估指标，开展自然恢复潜力和重点生态工程生态效益评估。</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各项目在年度目标设定方面，要求项目单位在设置绩效指标值得过程中做到尽量细化，符合量化、细化的要求，为实际实施绩效监控和绩效评价工作打好基础。</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2.资金投入及使用情况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（1）资金投入情况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新疆林科院造林治沙研究所项目支出涉及资金1500.36万元，截止2024年12月31日项目资金已下拨1500.36万元，下拨完成率100%。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（2）使用情况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截止2024年12月31日，该预算资金执行率为93.19%。</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（二）项目绩效目标。包括总体目标和阶段性目标。</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1、总体目标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根据《新疆维吾尔自治区财政科研项目资金管理办法》（新财教〔2019〕196号）《新疆维吾尔自治区科技计划项目管理办法》（新科规〔2019〕1号），2024年新疆林科院造林治沙研究所项目支出涉及资金1500.36万元，旨在通过资源集成和核心技术突破，为产业化发展提供科技支撑和模式示范。项目目标计划5月完成总体目标的60%，8月完成总体目标的80%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2、阶段性目标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2024年新疆林科院造林治沙研究所项目实施周期普遍为3-5年，项目坚持政产学研用相结合，注重培养人才，培育创新团队，获取自主知识产权。项目计划开展示范区常规管理工作，建设示范区500亩，示范区防护林保存率≥90%，提交科学报告1份，发表高质量论文1篇，行业、地方标准/规程/规范发布或完成申报1项，专题结题报告1份。专题实施方案1份。</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二、</w:t>
      </w:r>
      <w:r>
        <w:rPr>
          <w:rStyle w:val="18"/>
          <w:rFonts w:hint="eastAsia"/>
          <w:spacing w:val="-4"/>
          <w:sz w:val="32"/>
          <w:szCs w:val="32"/>
        </w:rPr>
        <w:t>绩效评价工作开展情况</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（一）绩效评价目的、对象和范围。</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1.绩效评价目的</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通过对项目开展绩效评价，了解和掌握项目实施的具体情况，客观评价项目资金安排的科学性、合理性、规范性和资金使用成效，及时总结项目管理经验，完善项目管理办法，提高项目管理水平和资金的使用效益。</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（2）促使各个项目负责人根据绩效评价中发现的问题，认真加以整改，及时调整和完善单位的工作计划和绩效目标并加强项目管理，提高管理水平，同时为项目后续资金投入、分配和管理提供决策依据。</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2.绩效评价对象</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本次评价从项目决策、项目管理、项目产出、项目效益四个维度进行评价，绩效评价对象为新疆林科院造林治沙研究所项目支出，涉及资金1500.36万元。</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（二）绩效评价原则、评价指标体系（附表说明）、评价方法、评价标准等。</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1.绩效评价依据和原则</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依据《中华人民共和国预算法》、《中华人民共和国预算法实施条例》、《项目支出绩效评价管理办法》（财预〔2020〕10号）系列文件的要求，本次绩效评价秉承科学规范、公正公开、分级分类、绩效相关等原则，按照从投入、过程到产出效果和影响的绩效逻辑路径，结合2024年度新疆林科院造林治沙研究所项目实际开展情况，运用定量和定性分析相结合的方法，客观评价项目实施成效。</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根据以上原则，绩效评价应遵循如下要求：</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（1）在数据收集时，采取项目承担单位报送基础数据，业务处室进行审核的形式，以保证各项指标的真实性。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（2）保证评价结果的真实性、公正性，提高评价报告的公信力。</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（3）绩效评价报告应当简明扼要，除了对绩效评价的过程、结果描述外，还应指出问题，并就共性问题提出可操作性改进建议。</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2.绩效评价指标体系</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本项目共设置项目决策、项目过程、项目产出、项目效益/满意度指标四个一级指标，并按科学及相关性要求分别设立二级和三级指标。项目绩效评价指标体系，评分表满分100分，见下表：</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项目支出绩效评价指标体系</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ab/>
        <w:t>一级指标</w:t>
      </w:r>
      <w:r>
        <w:rPr>
          <w:rStyle w:val="18"/>
          <w:rFonts w:hint="eastAsia" w:ascii="楷体" w:hAnsi="楷体" w:eastAsia="楷体"/>
          <w:spacing w:val="-4"/>
          <w:sz w:val="32"/>
          <w:szCs w:val="32"/>
        </w:rPr>
        <w:tab/>
        <w:t>二级指标</w:t>
      </w:r>
      <w:r>
        <w:rPr>
          <w:rStyle w:val="18"/>
          <w:rFonts w:hint="eastAsia" w:ascii="楷体" w:hAnsi="楷体" w:eastAsia="楷体"/>
          <w:spacing w:val="-4"/>
          <w:sz w:val="32"/>
          <w:szCs w:val="32"/>
        </w:rPr>
        <w:tab/>
        <w:t>权重</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ab/>
        <w:t>项目决策（20分）</w:t>
      </w:r>
      <w:r>
        <w:rPr>
          <w:rStyle w:val="18"/>
          <w:rFonts w:hint="eastAsia" w:ascii="楷体" w:hAnsi="楷体" w:eastAsia="楷体"/>
          <w:spacing w:val="-4"/>
          <w:sz w:val="32"/>
          <w:szCs w:val="32"/>
        </w:rPr>
        <w:tab/>
        <w:t>项目立项</w:t>
      </w:r>
      <w:r>
        <w:rPr>
          <w:rStyle w:val="18"/>
          <w:rFonts w:hint="eastAsia" w:ascii="楷体" w:hAnsi="楷体" w:eastAsia="楷体"/>
          <w:spacing w:val="-4"/>
          <w:sz w:val="32"/>
          <w:szCs w:val="32"/>
        </w:rPr>
        <w:tab/>
        <w:t>6</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ab/>
        <w:t/>
      </w:r>
      <w:r>
        <w:rPr>
          <w:rStyle w:val="18"/>
          <w:rFonts w:hint="eastAsia" w:ascii="楷体" w:hAnsi="楷体" w:eastAsia="楷体"/>
          <w:spacing w:val="-4"/>
          <w:sz w:val="32"/>
          <w:szCs w:val="32"/>
        </w:rPr>
        <w:tab/>
        <w:t>绩效目标</w:t>
      </w:r>
      <w:r>
        <w:rPr>
          <w:rStyle w:val="18"/>
          <w:rFonts w:hint="eastAsia" w:ascii="楷体" w:hAnsi="楷体" w:eastAsia="楷体"/>
          <w:spacing w:val="-4"/>
          <w:sz w:val="32"/>
          <w:szCs w:val="32"/>
        </w:rPr>
        <w:tab/>
        <w:t>6</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ab/>
        <w:t/>
      </w:r>
      <w:r>
        <w:rPr>
          <w:rStyle w:val="18"/>
          <w:rFonts w:hint="eastAsia" w:ascii="楷体" w:hAnsi="楷体" w:eastAsia="楷体"/>
          <w:spacing w:val="-4"/>
          <w:sz w:val="32"/>
          <w:szCs w:val="32"/>
        </w:rPr>
        <w:tab/>
        <w:t>资金投入</w:t>
      </w:r>
      <w:r>
        <w:rPr>
          <w:rStyle w:val="18"/>
          <w:rFonts w:hint="eastAsia" w:ascii="楷体" w:hAnsi="楷体" w:eastAsia="楷体"/>
          <w:spacing w:val="-4"/>
          <w:sz w:val="32"/>
          <w:szCs w:val="32"/>
        </w:rPr>
        <w:tab/>
        <w:t>8</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ab/>
        <w:t>项目过程（20分）</w:t>
      </w:r>
      <w:r>
        <w:rPr>
          <w:rStyle w:val="18"/>
          <w:rFonts w:hint="eastAsia" w:ascii="楷体" w:hAnsi="楷体" w:eastAsia="楷体"/>
          <w:spacing w:val="-4"/>
          <w:sz w:val="32"/>
          <w:szCs w:val="32"/>
        </w:rPr>
        <w:tab/>
        <w:t>资金管理</w:t>
      </w:r>
      <w:r>
        <w:rPr>
          <w:rStyle w:val="18"/>
          <w:rFonts w:hint="eastAsia" w:ascii="楷体" w:hAnsi="楷体" w:eastAsia="楷体"/>
          <w:spacing w:val="-4"/>
          <w:sz w:val="32"/>
          <w:szCs w:val="32"/>
        </w:rPr>
        <w:tab/>
        <w:t>10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ab/>
        <w:t/>
      </w:r>
      <w:r>
        <w:rPr>
          <w:rStyle w:val="18"/>
          <w:rFonts w:hint="eastAsia" w:ascii="楷体" w:hAnsi="楷体" w:eastAsia="楷体"/>
          <w:spacing w:val="-4"/>
          <w:sz w:val="32"/>
          <w:szCs w:val="32"/>
        </w:rPr>
        <w:tab/>
        <w:t>组织实施</w:t>
      </w:r>
      <w:r>
        <w:rPr>
          <w:rStyle w:val="18"/>
          <w:rFonts w:hint="eastAsia" w:ascii="楷体" w:hAnsi="楷体" w:eastAsia="楷体"/>
          <w:spacing w:val="-4"/>
          <w:sz w:val="32"/>
          <w:szCs w:val="32"/>
        </w:rPr>
        <w:tab/>
        <w:t>10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ab/>
        <w:t>项目产出（40分）</w:t>
      </w:r>
      <w:r>
        <w:rPr>
          <w:rStyle w:val="18"/>
          <w:rFonts w:hint="eastAsia" w:ascii="楷体" w:hAnsi="楷体" w:eastAsia="楷体"/>
          <w:spacing w:val="-4"/>
          <w:sz w:val="32"/>
          <w:szCs w:val="32"/>
        </w:rPr>
        <w:tab/>
        <w:t>数量指标</w:t>
      </w:r>
      <w:r>
        <w:rPr>
          <w:rStyle w:val="18"/>
          <w:rFonts w:hint="eastAsia" w:ascii="楷体" w:hAnsi="楷体" w:eastAsia="楷体"/>
          <w:spacing w:val="-4"/>
          <w:sz w:val="32"/>
          <w:szCs w:val="32"/>
        </w:rPr>
        <w:tab/>
        <w:t>20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ab/>
        <w:t/>
      </w:r>
      <w:r>
        <w:rPr>
          <w:rStyle w:val="18"/>
          <w:rFonts w:hint="eastAsia" w:ascii="楷体" w:hAnsi="楷体" w:eastAsia="楷体"/>
          <w:spacing w:val="-4"/>
          <w:sz w:val="32"/>
          <w:szCs w:val="32"/>
        </w:rPr>
        <w:tab/>
        <w:t>质量指标</w:t>
      </w:r>
      <w:r>
        <w:rPr>
          <w:rStyle w:val="18"/>
          <w:rFonts w:hint="eastAsia" w:ascii="楷体" w:hAnsi="楷体" w:eastAsia="楷体"/>
          <w:spacing w:val="-4"/>
          <w:sz w:val="32"/>
          <w:szCs w:val="32"/>
        </w:rPr>
        <w:tab/>
        <w:t>10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ab/>
        <w:t/>
      </w:r>
      <w:r>
        <w:rPr>
          <w:rStyle w:val="18"/>
          <w:rFonts w:hint="eastAsia" w:ascii="楷体" w:hAnsi="楷体" w:eastAsia="楷体"/>
          <w:spacing w:val="-4"/>
          <w:sz w:val="32"/>
          <w:szCs w:val="32"/>
        </w:rPr>
        <w:tab/>
        <w:t>时效指标</w:t>
      </w:r>
      <w:r>
        <w:rPr>
          <w:rStyle w:val="18"/>
          <w:rFonts w:hint="eastAsia" w:ascii="楷体" w:hAnsi="楷体" w:eastAsia="楷体"/>
          <w:spacing w:val="-4"/>
          <w:sz w:val="32"/>
          <w:szCs w:val="32"/>
        </w:rPr>
        <w:tab/>
        <w:t>10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ab/>
        <w:t>项目效果（20分）</w:t>
      </w:r>
      <w:r>
        <w:rPr>
          <w:rStyle w:val="18"/>
          <w:rFonts w:hint="eastAsia" w:ascii="楷体" w:hAnsi="楷体" w:eastAsia="楷体"/>
          <w:spacing w:val="-4"/>
          <w:sz w:val="32"/>
          <w:szCs w:val="32"/>
        </w:rPr>
        <w:tab/>
        <w:t>效益指标</w:t>
      </w:r>
      <w:r>
        <w:rPr>
          <w:rStyle w:val="18"/>
          <w:rFonts w:hint="eastAsia" w:ascii="楷体" w:hAnsi="楷体" w:eastAsia="楷体"/>
          <w:spacing w:val="-4"/>
          <w:sz w:val="32"/>
          <w:szCs w:val="32"/>
        </w:rPr>
        <w:tab/>
        <w:t>10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ab/>
        <w:t/>
      </w:r>
      <w:r>
        <w:rPr>
          <w:rStyle w:val="18"/>
          <w:rFonts w:hint="eastAsia" w:ascii="楷体" w:hAnsi="楷体" w:eastAsia="楷体"/>
          <w:spacing w:val="-4"/>
          <w:sz w:val="32"/>
          <w:szCs w:val="32"/>
        </w:rPr>
        <w:tab/>
        <w:t>满意度指标</w:t>
      </w:r>
      <w:r>
        <w:rPr>
          <w:rStyle w:val="18"/>
          <w:rFonts w:hint="eastAsia" w:ascii="楷体" w:hAnsi="楷体" w:eastAsia="楷体"/>
          <w:spacing w:val="-4"/>
          <w:sz w:val="32"/>
          <w:szCs w:val="32"/>
        </w:rPr>
        <w:tab/>
        <w:t>10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合计</w:t>
      </w:r>
      <w:r>
        <w:rPr>
          <w:rStyle w:val="18"/>
          <w:rFonts w:hint="eastAsia" w:ascii="楷体" w:hAnsi="楷体" w:eastAsia="楷体"/>
          <w:spacing w:val="-4"/>
          <w:sz w:val="32"/>
          <w:szCs w:val="32"/>
        </w:rPr>
        <w:tab/>
        <w:t>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在设计绩效评价指标体系时，首先确定总目标，根据权数逐级确定至三级指标的标准值，再分解至每项考查内容。每项考查内容依据实际考查结果评定，其中指标完成值由实施项目负责人提供的资料予以评定，指标完成值按照预期指标值评定，根据指标完成值确定指标完成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通过对绩效评价方法的综合运用，对获取的各类数据进行汇总、分类和分析。对于量化指标，进行量化分析，得出财政支出绩效评价的量化结果；对于定性指标，则通过调查问卷、电话沟通等方法，对财政支出的效果进行定性评价。</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ab/>
        <w:t>3.评价方法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项目绩效评价方法是通过对绩效目标与项目实施效果进行比较，综合分析绩效目标实现的程度。详细方法应用如下：</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比较法：通过梳理该项目实施方案和实际完成情况，评价产出指标的完成情况，分析项目实施后产生的效益效果。</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4.评价标准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项目评价指标体系的评价标准：对于定量指标，采用计划标准，以预先制定的目标、计划、预算、定额等作为评价标准，对比分析项目产出、效益的完成情况。对于定性指标，采用历史成本，通过查看项目资料，采集相关数据，评价指标的完成情况。</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（三）绩效评价工作过程。</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根据自治区财政厅绩效评价工作部署和要求，相关处室组织项目承担单位报送绩效自评报告，对项目绩效自评报告进行审核，对存在的疑问进行了核查。</w:t>
      </w:r>
    </w:p>
    <w:p>
      <w:p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rPr>
        <w:t>三、</w:t>
      </w:r>
      <w:r>
        <w:rPr>
          <w:rStyle w:val="18"/>
          <w:rFonts w:hint="eastAsia"/>
          <w:spacing w:val="-4"/>
          <w:sz w:val="32"/>
          <w:szCs w:val="32"/>
        </w:rPr>
        <w:t>综合评价情况及评价结论</w:t>
      </w:r>
    </w:p>
    <w:p>
      <w:pPr>
        <w:spacing w:line="540" w:lineRule="exact"/>
        <w:ind w:firstLine="567"/>
        <w:rPr>
          <w:rStyle w:val="18"/>
          <w:rFonts w:hint="eastAsia" w:ascii="楷体" w:hAnsi="楷体" w:eastAsia="楷体"/>
          <w:spacing w:val="-4"/>
          <w:sz w:val="32"/>
          <w:szCs w:val="32"/>
        </w:rPr>
      </w:pPr>
      <w:r>
        <w:rPr>
          <w:rStyle w:val="18"/>
          <w:rFonts w:hint="eastAsia" w:ascii="楷体" w:hAnsi="楷体" w:eastAsia="楷体"/>
          <w:spacing w:val="-4"/>
          <w:sz w:val="32"/>
          <w:szCs w:val="32"/>
        </w:rPr>
        <w:t>依据《项目支出绩效评价管理办法》（财预〔2020〕10号）文件，绩效评价总分设置为100分，划分为四档：90（含）-100分为优，80（含）-90分为良，60（含）-80分为中，60分以下为差。经综合分析评价，该计划项目得分83分，绩效等级评定为“良”。该项目重点解决产业发展以及阻碍林业生态效益的发挥，导致防护林退化威胁绿洲生态安全等问题的战略性、前瞻性核心关键技术瓶颈，着力推动新疆社会经济的可持续发展。</w:t>
      </w:r>
    </w:p>
    <w:p>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w:t>
      </w:r>
      <w:r>
        <w:rPr>
          <w:rStyle w:val="18"/>
          <w:rFonts w:hint="eastAsia"/>
          <w:spacing w:val="-4"/>
          <w:sz w:val="32"/>
          <w:szCs w:val="32"/>
        </w:rPr>
        <w:t>绩效评价指标分析</w:t>
      </w:r>
      <w:r>
        <w:rPr>
          <w:rStyle w:val="18"/>
          <w:rFonts w:hint="eastAsia" w:ascii="黑体" w:hAnsi="黑体" w:eastAsia="黑体"/>
          <w:b w:val="0"/>
          <w:spacing w:val="-4"/>
          <w:sz w:val="32"/>
          <w:szCs w:val="32"/>
        </w:rPr>
        <w:t xml:space="preserve"> </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（一）项目决策情况。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1.项目立项</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根据2023年第15次党委（扩大）会议纪要(林业科学院委员会会议纪要〔2023〕15号），审议通过《关于新疆林业科学院2024年度部门预算报表草案编制审核报送的请示》。立项依据符合政策要求，立项程序合规，由项目负责人编制立项申请书，内容包括项目背景与必要性、实施内容与方案、预算概算、预期成果、团队分工等，审批文件、材料符合相关要求。</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2024年新疆林科院造林治沙研究所项目按照《新疆林科院科研项目及经费管理办法（试行）》(新林科院函〔2024〕34号），为规范和加强科研项目管理，实现项目管理的科学化、规范化、程序化、常态化，保证科研项目的顺利实施。项目事前已经过必要的可行性研究、专家论证、风险评估、绩效评估、集体决策。</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项目按照自治区科技和经济社会的发展目标筛选，贯彻执行党中央、国务院和自治区党委、政府关于落实创新驱动发展战略方针、政策。</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该指标满分为6分，根据评分标准得6分。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2.绩效目标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2024年新疆林科院造林治沙研究所项目支出绩效目标表》目标设定明确、量化、可衡量。各课题的项目支出绩效目标表、实施方案、项目合同书、项目自评报告或项目年度执行情况报告等资料齐全，项目绩效目标与实际工作内容相关。</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2024年新疆林科院造林治沙研究所项目支出绩效目标总任务为各课题计划完成的绩效目标合计，目标任务与计划数相对应。</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该指标满分为6分，根据评分标准得6分。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3、资金投入</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根据《自治区财政科研项目资金管理办法》文件要求：“预算编制按照项目实施的合理需要，坚持目标相关性、政策相符性和资金合理性的原则。</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2024年新疆林科院造林治沙研究所项目各课题已按要求进行了预算编制，预算的编制有依据且与项目内容及工作任务相匹配，并经过财务专家评审。</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2024年新疆林科院经济林研究所项目根据项目负责人提交的项目计划书及预算，了解项目特点、研究进度、资金需求等，结合各课题立项评审结果、财务专家建议，确保预算的编制有依据且与项目内容及工作任务相匹配。按照《自治区财政科研项目资金管理办法》中“合理确定资金拨付计划。自治区科技厅要根据不同类型项目特点、研究进度、资金需求等，合理制定财政科研项目资金拨付计划。</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该指标满分为8分，根据评分标准得8分。</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（二）项目过程情况。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1.资金管理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（1）B11资金到位率指标  </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资金到位率=（实际到位资金/预算资金）×100%。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项目总预算资金为1500.36万元，已分配至承担单位，到位率为100%。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该指标满分为4分，根据评分标准得4分。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（2）B11预算执行率  </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预算执行率=（实际使用资金/到位资金）×100%。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根据项目拨款情况统计表，截止2024年12月31日，预算执行率为93.19%。</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该指标满分为4分，根据评分标准得3分。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（3）B12资金使用合规性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根据各项目提供的资金执行情况统计表，项目相关负责人在资金使用方面符合国家财经法规和财务管理制度以及有关专项资金管理办法的规定。</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该指标满分为2分，根据评分标准得2分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2.组织实施</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2024年项目及各课题实施方案完整、且按年度对指标完成情况进行了细化，无重大调整。各项目均在实施初期阶段，基本能够按照实施方案和计划执行，单位内部按月提交进展报告，汇报任务完成情况及资金使用进度，科技厅每季度进行绩效管理和监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2024年新疆林科院造林治沙研究所项目均已根据《新疆林科院科研项目及经费管理办法（试行）》(新林科院函〔2024〕34号）相关要求制定了与科技项目管理相关的财务和业务管理制度，制度制定合法、合规、完整。</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2024年项目的实施遵守《中华人民共和国预算法》和《新疆林科院科研项目及经费管理办法（试行）》(新林科院函〔2024〕34号）相关规定；项目合同书、阶段成果技术鉴定等资料齐全。  </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该指标满分为10分，根据评分标准得10分。</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（三）项目产出情况。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项目产出评价指标权重分值共计40分，根据评分标准得分40分，失分10分，得30分，得分率75 %，具体如下：1.数量指标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（1）C11绩效发放人数</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根据年初绩效目标，绩效发放人数共计10人，完成目标值。故得5分,得分率83.33%。</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该指标满分为6分，根据评分标准得5分。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（2）C12发放劳务费人数</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根据年初绩效目标，劳务费发放人数共计10人，完成目标值。故得5分,得分率83.33%。</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该指标满分为6分，根据评分标准得5分。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（3）C13购置材料数量</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根据年初绩效目标，项目执行中采购的各类原材料、设备、耗材等的总数量共计10批，完成目标值。故得5分,得分率83.33%。</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该指标满分为6分，根据评分标准得5分。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（4）C14建立试验示范区</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根据年初绩效目标，为验证技术或模式效果而建设的实体展示区域500亩，完成目标值。故得4分,得分率80%。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该指标满分为5分，根据评分标准得4分。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2.质量指标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（1）C21项目合同履约率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根据年初绩效目标，实际完成合同约定内容的比例为95%，完成目标值。故得4.5分,得分率90%。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该指标满分为5分，根据评分标准得4.5分。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（2）C22材料验收合格率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根据年初绩效目标，采购材料通过质量检验的批次占总验收批次的比例为95%，完成目标值。故得3.5分,得分率87.5%。</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该指标满分为4分，根据评分标准得3.5分。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（3）C23监测合格率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根据年初绩效目标，项目成果或过程通过监测标准的比例为98%，完成目标值。故得3.5分,得分率87.5%。</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该指标满分为4分，根据评分标准得3.5分。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3.时效指标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（1）C31资金发放及时率。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根据年初绩效目标，按计划时间节点完成资金拨付的比例为90%，完成目标值。故得3.5分,得分率87.5%。</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该指标满分为4分，根据评分标准得3.5分。</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（四）项目效益情况。</w:t>
      </w:r>
    </w:p>
    <w:p>
      <w:pPr>
        <w:spacing w:line="540" w:lineRule="exact"/>
        <w:ind w:firstLine="567"/>
        <w:rPr>
          <w:rStyle w:val="18"/>
          <w:rFonts w:hint="eastAsia" w:ascii="楷体" w:hAnsi="楷体" w:eastAsia="楷体"/>
          <w:spacing w:val="-4"/>
          <w:sz w:val="32"/>
          <w:szCs w:val="32"/>
        </w:rPr>
      </w:pPr>
      <w:r>
        <w:rPr>
          <w:rStyle w:val="18"/>
          <w:rFonts w:hint="eastAsia" w:ascii="楷体" w:hAnsi="楷体" w:eastAsia="楷体"/>
          <w:spacing w:val="-4"/>
          <w:sz w:val="32"/>
          <w:szCs w:val="32"/>
        </w:rPr>
        <w:t>(1)D11发表科研论文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发表科研论文1篇，小于目标值，故得0分。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该指标满分为10分，根据评分标准得0分。</w:t>
      </w:r>
    </w:p>
    <w:p>
      <w:pPr>
        <w:spacing w:line="540" w:lineRule="exact"/>
        <w:ind w:firstLine="567"/>
        <w:rPr>
          <w:rStyle w:val="18"/>
          <w:rFonts w:hint="eastAsia" w:ascii="楷体" w:hAnsi="楷体" w:eastAsia="楷体"/>
          <w:spacing w:val="-4"/>
          <w:sz w:val="32"/>
          <w:szCs w:val="32"/>
        </w:rPr>
      </w:pPr>
      <w:r>
        <w:rPr>
          <w:rStyle w:val="18"/>
          <w:rFonts w:hint="eastAsia" w:ascii="楷体" w:hAnsi="楷体" w:eastAsia="楷体"/>
          <w:spacing w:val="-4"/>
          <w:sz w:val="32"/>
          <w:szCs w:val="32"/>
        </w:rPr>
        <w:t>满意度指标：根据对2024年项目的满意度情况了解，受扶持单位及科研人员对项目主管单位的满意度95%，满意度较高。</w:t>
      </w:r>
    </w:p>
    <w:p>
      <w:pPr>
        <w:spacing w:line="540" w:lineRule="exact"/>
        <w:ind w:firstLine="640"/>
        <w:rPr>
          <w:rStyle w:val="18"/>
          <w:rFonts w:ascii="黑体" w:hAnsi="黑体" w:eastAsia="黑体"/>
          <w:spacing w:val="-4"/>
          <w:sz w:val="32"/>
          <w:szCs w:val="32"/>
        </w:rPr>
      </w:pPr>
      <w:r>
        <w:rPr>
          <w:rStyle w:val="18"/>
          <w:rFonts w:hint="eastAsia" w:ascii="黑体" w:hAnsi="黑体" w:eastAsia="黑体"/>
          <w:b w:val="0"/>
          <w:spacing w:val="-4"/>
          <w:sz w:val="32"/>
          <w:szCs w:val="32"/>
          <w:lang w:eastAsia="zh-CN"/>
        </w:rPr>
        <w:t>五</w:t>
      </w:r>
      <w:r>
        <w:rPr>
          <w:rStyle w:val="18"/>
          <w:rFonts w:hint="eastAsia" w:ascii="黑体" w:hAnsi="黑体" w:eastAsia="黑体"/>
          <w:b w:val="0"/>
          <w:spacing w:val="-4"/>
          <w:sz w:val="32"/>
          <w:szCs w:val="32"/>
        </w:rPr>
        <w:t>、</w:t>
      </w:r>
      <w:r>
        <w:rPr>
          <w:rStyle w:val="18"/>
          <w:rFonts w:ascii="黑体" w:hAnsi="黑体" w:eastAsia="黑体"/>
          <w:b w:val="0"/>
          <w:spacing w:val="-4"/>
          <w:sz w:val="32"/>
          <w:szCs w:val="32"/>
        </w:rPr>
        <w:t>主要经验及做法、存在的问题及原因分析</w:t>
      </w:r>
    </w:p>
    <w:p>
      <w:pPr>
        <w:spacing w:line="54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（一）项目整体实施进展情况、取得成效</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建立试验示范区面积500亩，发表相关论文1篇以上，提交研究报告1份；围绕生态修复水资源高效利用，依托艾西曼区域生态修复及荒漠化治理项目（中水）进行中水和微咸水高效利用关键技术研发，申请相关高咸水与再生水组合利用灌溉装置及方法发明专利1项，获得实用新型专利1项；面向典型保护区生态修复的旱区“河—库—闸”水系联通网络协同调控与决策系统内容的软件著作权1项；在服务、指导、应用于34个相关工程项目实施过程中，形成水资源高效利用和科学保护的典型经验做法或案例报告1-2篇。通过项目的实施，对行业和产业发展带来巨大的推动作用，提升科技创新在经济社会发展中的支撑引领作用。</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（二）经验及做法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1.目标明确</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2024年项目围绕自治区经济社会发展目标，突出节水林业技术研究、防沙治沙技术研究、防护林研究、荒漠化环境及动态监测、荒漠林生物防治、苗木培育、抗旱树种选育，旨在通过资源集成和核心技术突破，努力实现以科技发展的局部跃升带动生产力的跨越发展。同时突出重点项目技术攻关和成果转化，注重经济和社会效益，加强市场预期评估和目标可行性评价，降低专项资金使用风险。</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强化项目管理。一是加强项目全过程管理，实行定期调研和不定期走访相结合、书面自评和现场考察相结合的方式，确保项目和资金安全。二是突出产业发展重点，科学谋划并组织实施项目，使科技项目真正服务区域主导产业发展，促进创新型产业集群形成，全面提升产业整体创新能力。三是项目绩效管理，严格按照财政厅相关工作要求，切实做到绩效目标管理、绩效运行监控、绩效支出自评价等全链条绩效闭环管理。对于履约不力、进度滞后的项目及时提醒督促、推动整改，确保项目按进度执行。</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（三）存在的问题及原因分析</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实际实施绩效监控和绩效评价时较为困难，在印证资料收集过程中，遇到数据质量参差不齐、数据分散不易整合等问题，导致印证资料收集效率低下，从而影响到绩效印证资料的未及时报送。同时绩效印证资料的收集需要经过多个处室，协作处室响应不及时、报送材料不合格等导致绩效印证资料未能及时报送。</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2.填报进度缓慢，质量参差不齐，部分项目存在资金执行效率迟缓问题。部分项目实施期受时令影响明显，项目一般于4月开始出差，于5月、6月返回报账。因此存在经费到位后未能按时支付，或者为不影响项目执行已提前支付，但经费到位后未及时报销等问题。 </w:t>
      </w:r>
    </w:p>
    <w:p>
      <w:pPr>
        <w:ind w:firstLine="624" w:firstLineChars="200"/>
        <w:rPr>
          <w:rStyle w:val="18"/>
          <w:rFonts w:ascii="黑体" w:hAnsi="黑体" w:eastAsia="黑体"/>
          <w:b w:val="0"/>
          <w:spacing w:val="-4"/>
          <w:sz w:val="32"/>
          <w:szCs w:val="32"/>
        </w:rPr>
      </w:pPr>
      <w:r>
        <w:rPr>
          <w:rStyle w:val="18"/>
          <w:rFonts w:hint="eastAsia" w:ascii="黑体" w:hAnsi="黑体" w:eastAsia="黑体"/>
          <w:b w:val="0"/>
          <w:spacing w:val="-4"/>
          <w:sz w:val="32"/>
          <w:szCs w:val="32"/>
          <w:lang w:eastAsia="zh-CN"/>
        </w:rPr>
        <w:t>六</w:t>
      </w:r>
      <w:r>
        <w:rPr>
          <w:rStyle w:val="18"/>
          <w:rFonts w:ascii="黑体" w:hAnsi="黑体" w:eastAsia="黑体"/>
          <w:b w:val="0"/>
          <w:spacing w:val="-4"/>
          <w:sz w:val="32"/>
          <w:szCs w:val="32"/>
        </w:rPr>
        <w:t>、有关建议</w:t>
      </w:r>
    </w:p>
    <w:p>
      <w:pPr>
        <w:spacing w:line="54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（一）开展专题培训，加强专业能力建设</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针对财政人员，项目负责人、第三方机构开展绩效评价专题培训，重点提升数据分析和问题诊断能力。将绩效管理和财务管理有机结合落实到位，强化项目承担单位责任，以提高专项资金使用的规范性。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（二）科学设置绩效评价指标，细化绩效管理工作</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建议根据项目历年指标完成情况，开展充分的数据分析，深入挖掘项目实施效益，充分考虑绩效目标及指标设置的科学合理性，细化绩效管理工作。</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（三）完善绩效评价工作机制</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建议财政厅相关业务处室针对科技计划项目先预算后立项、执行周期长等特点，在项目执行过程中每年开展一次绩效监控，对执行缓慢、自筹资金未及时到位的项目进行督促，注重绩效目标阶段性实现程度，以保障项目绩效目标的最终实现。</w:t>
      </w:r>
    </w:p>
    <w:p>
      <w:pPr>
        <w:spacing w:line="540" w:lineRule="exact"/>
        <w:ind w:firstLine="567"/>
        <w:rPr>
          <w:rStyle w:val="18"/>
          <w:rFonts w:ascii="黑体" w:hAnsi="黑体" w:eastAsia="黑体"/>
          <w:b w:val="0"/>
          <w:spacing w:val="-4"/>
          <w:sz w:val="32"/>
          <w:szCs w:val="32"/>
        </w:rPr>
      </w:pPr>
      <w:r>
        <w:rPr>
          <w:rStyle w:val="18"/>
          <w:rFonts w:hint="eastAsia" w:ascii="黑体" w:hAnsi="黑体" w:eastAsia="黑体"/>
          <w:b w:val="0"/>
          <w:spacing w:val="-4"/>
          <w:sz w:val="32"/>
          <w:szCs w:val="32"/>
          <w:lang w:eastAsia="zh-CN"/>
        </w:rPr>
        <w:t>七</w:t>
      </w:r>
      <w:r>
        <w:rPr>
          <w:rStyle w:val="18"/>
          <w:rFonts w:hint="eastAsia" w:ascii="黑体" w:hAnsi="黑体" w:eastAsia="黑体"/>
          <w:b w:val="0"/>
          <w:spacing w:val="-4"/>
          <w:sz w:val="32"/>
          <w:szCs w:val="32"/>
        </w:rPr>
        <w:t>、其他需要说明的问题</w:t>
      </w:r>
    </w:p>
    <w:p>
      <w:pPr>
        <w:spacing w:line="54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本次预算绩效评价所采集的数据因为采集时间、数据来源等诸多因素的影响，可能会出现一定的偏差，进而对评价结果存在影响。</w:t>
      </w: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docPartObj>
        <w:docPartGallery w:val="autotext"/>
      </w:docPartObj>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1028C5"/>
    <w:rsid w:val="00102DFF"/>
    <w:rsid w:val="00121AE4"/>
    <w:rsid w:val="0014601B"/>
    <w:rsid w:val="00146AAD"/>
    <w:rsid w:val="00150F05"/>
    <w:rsid w:val="001B3A40"/>
    <w:rsid w:val="00273CCD"/>
    <w:rsid w:val="00291BC0"/>
    <w:rsid w:val="00311DBE"/>
    <w:rsid w:val="00345DD7"/>
    <w:rsid w:val="00351EFF"/>
    <w:rsid w:val="003B0577"/>
    <w:rsid w:val="003E7E58"/>
    <w:rsid w:val="003F5180"/>
    <w:rsid w:val="00414C3A"/>
    <w:rsid w:val="004366A8"/>
    <w:rsid w:val="004A05EE"/>
    <w:rsid w:val="004C38BC"/>
    <w:rsid w:val="004F1F3C"/>
    <w:rsid w:val="00502BA7"/>
    <w:rsid w:val="005162F1"/>
    <w:rsid w:val="00535153"/>
    <w:rsid w:val="00554F82"/>
    <w:rsid w:val="0056390D"/>
    <w:rsid w:val="005719B0"/>
    <w:rsid w:val="005A4F2E"/>
    <w:rsid w:val="005A5018"/>
    <w:rsid w:val="005C51DF"/>
    <w:rsid w:val="005D10D6"/>
    <w:rsid w:val="005E7C5E"/>
    <w:rsid w:val="0075584F"/>
    <w:rsid w:val="00855E3A"/>
    <w:rsid w:val="0091457F"/>
    <w:rsid w:val="00922CB9"/>
    <w:rsid w:val="00925D36"/>
    <w:rsid w:val="00944DD1"/>
    <w:rsid w:val="009E5CD9"/>
    <w:rsid w:val="009F4373"/>
    <w:rsid w:val="00A26421"/>
    <w:rsid w:val="00A34588"/>
    <w:rsid w:val="00A413B8"/>
    <w:rsid w:val="00A4293B"/>
    <w:rsid w:val="00A67D50"/>
    <w:rsid w:val="00A8691A"/>
    <w:rsid w:val="00A972DF"/>
    <w:rsid w:val="00AC1946"/>
    <w:rsid w:val="00AC3A96"/>
    <w:rsid w:val="00AD5E52"/>
    <w:rsid w:val="00AF683C"/>
    <w:rsid w:val="00B2343E"/>
    <w:rsid w:val="00B40063"/>
    <w:rsid w:val="00B41F61"/>
    <w:rsid w:val="00B74D04"/>
    <w:rsid w:val="00BA46E6"/>
    <w:rsid w:val="00BB5015"/>
    <w:rsid w:val="00C56C72"/>
    <w:rsid w:val="00C62CB9"/>
    <w:rsid w:val="00CA6457"/>
    <w:rsid w:val="00CA6DC2"/>
    <w:rsid w:val="00CD37A4"/>
    <w:rsid w:val="00CE2FD9"/>
    <w:rsid w:val="00D17F2E"/>
    <w:rsid w:val="00D30354"/>
    <w:rsid w:val="00D52B7C"/>
    <w:rsid w:val="00D80C1E"/>
    <w:rsid w:val="00DB1661"/>
    <w:rsid w:val="00DF42A0"/>
    <w:rsid w:val="00E30E91"/>
    <w:rsid w:val="00E769FE"/>
    <w:rsid w:val="00E774CE"/>
    <w:rsid w:val="00E96D03"/>
    <w:rsid w:val="00EA2CBE"/>
    <w:rsid w:val="00EB10A0"/>
    <w:rsid w:val="00F32FEE"/>
    <w:rsid w:val="00FB10BB"/>
    <w:rsid w:val="0CB44F22"/>
    <w:rsid w:val="4C3D1751"/>
    <w:rsid w:val="4D2606A1"/>
    <w:rsid w:val="6D5928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nhideWhenUsed="0" w:uiPriority="99" w:semiHidden="0" w:name="Table Subtle 1"/>
    <w:lsdException w:uiPriority="99" w:name="Table Subtle 2"/>
    <w:lsdException w:uiPriority="99" w:name="Table Web 1"/>
    <w:lsdException w:unhideWhenUsed="0" w:uiPriority="99" w:semiHidden="0" w:name="Table Web 2"/>
    <w:lsdException w:unhideWhenUsed="0" w:uiPriority="99" w:semiHidden="0"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113</Words>
  <Characters>648</Characters>
  <Lines>5</Lines>
  <Paragraphs>1</Paragraphs>
  <TotalTime>0</TotalTime>
  <ScaleCrop>false</ScaleCrop>
  <LinksUpToDate>false</LinksUpToDate>
  <CharactersWithSpaces>760</CharactersWithSpaces>
  <Application>WPS Office_11.8.2.10912_F1E327BC-269C-435d-A152-05C5408002CA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Administrator</cp:lastModifiedBy>
  <cp:lastPrinted>2018-12-31T10:56:00Z</cp:lastPrinted>
  <dcterms:modified xsi:type="dcterms:W3CDTF">2025-08-22T05:21:19Z</dcterms:modified>
  <cp:revision>64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160D1BA1944349B08C48068401F6E698</vt:lpwstr>
  </property>
</Properties>
</file>