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新疆林科院森林生态研究所项目支出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新疆林科院森林生态研究所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新疆林科院森林生态研究所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张毓涛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党的十八大首次将生态文明建设作为“五位一体”总体布局的一个重要部分，以习近平同志为核心的党中央站在中华民族永续发展的战略高度，作出了加强生态文明建设的重大决策部署。十八届三中、四中全会先后提出“建立系统完整的生态文明制度体系”、“用严格的法律制度保护生态环境”，将生态文明建设提升到制度层面。生态文明建设是党中央做出的重大战略决策，是关系到人民福祉、国家命运、民族未来的长远根本大计。2020年9月25日至26日，第三次中央新疆工作座谈会在北京召开。习近平总书记在会上提出“要坚持绿水青山就是金山银山的理念，坚决守住生态保护红线，统筹开展森林草原保护工作”；习近平书记在加强荒漠化综合防治和推进“三北”等重点生态工程建设座谈会强调，加强荒漠化综合防治，深入推进“三北”等重点生态工程建设，事关我国生态安全、事关强国建设、事关中华民族永续发展，是一项功在当代、利在千秋的崇高事业，要全面抓好祁连山、天山、阿尔泰山、贺兰山、六盘山等区域天然林草植被的封育封禁保护，加强退化林和退化草原修复，确保沙源不扩散。要坚持系统观念，扎实推进山水林田湖草沙一体化保护和系统治理。要统筹森林、草原、湿地、荒漠生态保护修复，加强治沙、治水、治山全要素协调和管理，着力培育健康稳定、功能完备的森林、草原、湿地、荒漠生态系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深入贯彻落实党的二十大关于科学开展大规模国土绿化行动的决策部署，认真贯彻落实习近平总书记关于着力提升森林质量，特别是在加强荒漠化综合防治和推进“三北”等重点工程建设座谈会上的重要讲话精神，项目对博州精河国有林管理局，三台国有林管理局，哈夏国有林管理局，哈日图热格国有林管理局，新疆夏尔希里自然保护区管理站、新疆甘家湖梭梭林国家级自然保护区精河管理分局的有林地和灌木林地进行全面细致的调查，准确掌握退化林的分布、成因及退化程度，为摸清博州退化林底数，科学编制退化林修复规划、合理安排退化林修复任务提供支撑和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林科院森林生态研究所项目支出主要内容为布设固定监测样地、大型固定监测样地、地表径流观测场和综合观测场。调查森林生态系统群落动态特征、森林更新（幼苗、幼树）、枯损率（枯立木、倒木）、森林蓄积、年生长量等林分质量、土壤质量、生物多样性、地表径流量、土壤侵蚀模数、林分蒸散量、大气负氧离子等，进行长期森林生态系统定位动态观测和资料收集，了解掌握森林结构和质量变化，完成生态效益评估、常态化生态系统定位站监测工作，并提交观测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资金投入及使用情况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2024年新疆林科院森林生态研究所项目年初预算经费1097万元，为基本户自有资金，截止2024年12月31日项目资金已到位1097万元，到位率100%。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截止2024年12月31日，该专项预算资金执行率为100%。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交观测报告&gt;=3篇；购置材料批次&gt;=5次；监测指标&gt;=10次；绩效发放人数&gt;=10人；监测数据库准确率=100%；材料、设备质量合格率&gt;=85%；任务按进度完成&gt;=90%；发表论文数量&gt;=2篇；科研人员满意度&gt;=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5月，依据森林生态系统定位观测研究站项目进度安排，博州林草局党组成员山区管理站站长、精河国有林管理局负责人和新疆林科院森林生态研究所项目团队成员联合组成调研组，对项目实施区域进行详细踏查，初步完成主辅站点、大型固定监测样地等选址工作。主站设在精河国有林管理局巴音那木管护站（83°7'15"E，44°21'47"N）72林班（81小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2024年7月，项目组一行38人依据森林生态系统定位观测研究站项目实施方案，前往国有林管理局布设大型固定监测样地、乔灌木固定监测样地、综合观测场和地表径流场，并开展调查监测工作。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新疆林科院森林生态研究所项目开展绩效评价，了解和掌握项目实施的具体情况，客观评价项目资金安排的科学性、合理性、规范性和资金使用成效，及时总结项目管理经验，完善项目管理办法，提高项目管理水平和资金的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（2）促使项目承担单位根据绩效评价中发现的问题，认真加以整改，及时调整和完善单位的工作计划和绩效目标并加强项目管理，提高管理水平，同时为项目后续资金投入、分配和管理提供决策依据。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本次评价从项目决策、项目管理、项目产出、项目效益四个维度进行评价，评价对象为2024年度立项的新疆林科院森林生态研究所项目支出，涉及资金1097万元。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疆林科院森林生态研究所项目支出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本项目共设置项目决策、项目过程、项目产出、项目效益四个一级指标，并按科学及相关性要求分别设立二级和三级指标。项目绩效评价指标体系，评分表满分100分，见下表：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项目决策（20分）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资金投入</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项目过程（20分）</w:t>
      </w:r>
      <w:r>
        <w:rPr>
          <w:rStyle w:val="18"/>
          <w:rFonts w:hint="eastAsia" w:ascii="楷体" w:hAnsi="楷体" w:eastAsia="楷体"/>
          <w:spacing w:val="-4"/>
          <w:sz w:val="32"/>
          <w:szCs w:val="32"/>
        </w:rPr>
        <w:tab/>
        <w:t>资金管理</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项目产出（40分）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项目效果（20分）</w:t>
      </w:r>
      <w:r>
        <w:rPr>
          <w:rStyle w:val="18"/>
          <w:rFonts w:hint="eastAsia" w:ascii="楷体" w:hAnsi="楷体" w:eastAsia="楷体"/>
          <w:spacing w:val="-4"/>
          <w:sz w:val="32"/>
          <w:szCs w:val="32"/>
        </w:rPr>
        <w:tab/>
        <w:t>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新疆林科院森林生态研究所项目绩效评价方法是通过对绩效目标与项目实施效果进行比较，综合分析绩效目标实现的程度。详细方法应用如下：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采取对照项目合同，查阅相关资料，核实、查证、分析、论证有关情况和问题，信息汇总、分析判断，填写绩效评价指标表，得出绩效评价结论，撰写绩效评价报告，整理归档，完成绩效评价工作。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该计划项目得分89分，绩效等级评定为“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整体绩效分值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得分率（%）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33</w:t>
      </w:r>
      <w:r>
        <w:rPr>
          <w:rStyle w:val="18"/>
          <w:rFonts w:hint="eastAsia" w:ascii="楷体" w:hAnsi="楷体" w:eastAsia="楷体"/>
          <w:spacing w:val="-4"/>
          <w:sz w:val="32"/>
          <w:szCs w:val="32"/>
        </w:rPr>
        <w:tab/>
        <w:t>82.5%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项目效果</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16</w:t>
      </w:r>
      <w:r>
        <w:rPr>
          <w:rStyle w:val="18"/>
          <w:rFonts w:hint="eastAsia" w:ascii="楷体" w:hAnsi="楷体" w:eastAsia="楷体"/>
          <w:spacing w:val="-4"/>
          <w:sz w:val="32"/>
          <w:szCs w:val="32"/>
        </w:rPr>
        <w:tab/>
        <w:t>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  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89</w:t>
      </w:r>
      <w:r>
        <w:rPr>
          <w:rStyle w:val="18"/>
          <w:rFonts w:hint="eastAsia" w:ascii="楷体" w:hAnsi="楷体" w:eastAsia="楷体"/>
          <w:spacing w:val="-4"/>
          <w:sz w:val="32"/>
          <w:szCs w:val="32"/>
        </w:rPr>
        <w:tab/>
        <w:t>89%</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（20分）　</w:t>
      </w:r>
      <w:r>
        <w:rPr>
          <w:rStyle w:val="18"/>
          <w:rFonts w:hint="eastAsia" w:ascii="楷体" w:hAnsi="楷体" w:eastAsia="楷体"/>
          <w:spacing w:val="-4"/>
          <w:sz w:val="32"/>
          <w:szCs w:val="32"/>
        </w:rPr>
        <w:tab/>
        <w:t>A1项目立项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（6分）</w:t>
      </w:r>
      <w:r>
        <w:rPr>
          <w:rStyle w:val="18"/>
          <w:rFonts w:hint="eastAsia" w:ascii="楷体" w:hAnsi="楷体" w:eastAsia="楷体"/>
          <w:spacing w:val="-4"/>
          <w:sz w:val="32"/>
          <w:szCs w:val="32"/>
        </w:rPr>
        <w:tab/>
        <w:t>充分合规</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A2绩效目标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（6分）</w:t>
      </w:r>
      <w:r>
        <w:rPr>
          <w:rStyle w:val="18"/>
          <w:rFonts w:hint="eastAsia" w:ascii="楷体" w:hAnsi="楷体" w:eastAsia="楷体"/>
          <w:spacing w:val="-4"/>
          <w:sz w:val="32"/>
          <w:szCs w:val="32"/>
        </w:rPr>
        <w:tab/>
        <w:t>合理明确</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tab/>
        <w:t>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A3资金投入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（8分）</w:t>
      </w:r>
      <w:r>
        <w:rPr>
          <w:rStyle w:val="18"/>
          <w:rFonts w:hint="eastAsia" w:ascii="楷体" w:hAnsi="楷体" w:eastAsia="楷体"/>
          <w:spacing w:val="-4"/>
          <w:sz w:val="32"/>
          <w:szCs w:val="32"/>
        </w:rPr>
        <w:tab/>
        <w:t>科学合理</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按照《林业科学院委员会会议纪要》（〔2023〕15号），审议通过“关于新疆林业科学院2024年度部门预算报表草案编制审核报送的请示”。项目立项符合国家法律法规、国民经济发展规划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2024年新疆林科院森林生态研究所项目立项工作严格按照《新疆林科院科研项目及经费管理办法》（新林科院函〔2024〕34号）相关规定程序立项，审批文件、材料符合相关要求。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项目事前已经过必要的可行性研究、绩效评估、集体决策。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支出绩效目标表》该项目有绩效目标。该项目支出绩效目标表、实施方案、项目合同书、项目自评报告或项目年度执行情况报告等资料齐全，项目绩效目标与实际工作内容相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2024年新疆林科院森林生态研究所项目绩效目标总任务为各课题计划完成的绩效目标合计，目标任务与计划数相对应。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根据《自治区财政科研项目资金管理办法》文件要求：“预算编制按照项目实施的合理需要，坚持目标相关性、政策相符性和资金合理性的原则。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2024年新疆林科院森林生态研究所项目各课题已按要求进行了预算编制，预算的编制有依据且与项目内容及工作任务相匹配，并经过财务专家评审。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按照《自治区财政科研项目资金管理办法》中“合理确定资金拨付计划。自治区科技厅要根据不同类型项目特点、研究进度、资金需求等，合理制定财政科研项目资金拨付计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该指标满分为8分，根据评分标准得8分。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B项目过程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（20分）</w:t>
      </w:r>
      <w:r>
        <w:rPr>
          <w:rStyle w:val="18"/>
          <w:rFonts w:hint="eastAsia" w:ascii="楷体" w:hAnsi="楷体" w:eastAsia="楷体"/>
          <w:spacing w:val="-4"/>
          <w:sz w:val="32"/>
          <w:szCs w:val="32"/>
        </w:rPr>
        <w:tab/>
        <w:t>B1资金管理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（10分）</w:t>
      </w:r>
      <w:r>
        <w:rPr>
          <w:rStyle w:val="18"/>
          <w:rFonts w:hint="eastAsia" w:ascii="楷体" w:hAnsi="楷体" w:eastAsia="楷体"/>
          <w:spacing w:val="-4"/>
          <w:sz w:val="32"/>
          <w:szCs w:val="32"/>
        </w:rPr>
        <w:tab/>
        <w:t>B11 资金到位率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B12 预算执行率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B13 资金使用合规性</w:t>
      </w:r>
      <w:r>
        <w:rPr>
          <w:rStyle w:val="18"/>
          <w:rFonts w:hint="eastAsia" w:ascii="楷体" w:hAnsi="楷体" w:eastAsia="楷体"/>
          <w:spacing w:val="-4"/>
          <w:sz w:val="32"/>
          <w:szCs w:val="32"/>
        </w:rPr>
        <w:tab/>
        <w:t>合规</w:t>
      </w:r>
      <w:r>
        <w:rPr>
          <w:rStyle w:val="18"/>
          <w:rFonts w:hint="eastAsia" w:ascii="楷体" w:hAnsi="楷体" w:eastAsia="楷体"/>
          <w:spacing w:val="-4"/>
          <w:sz w:val="32"/>
          <w:szCs w:val="32"/>
        </w:rPr>
        <w:tab/>
        <w:t>2</w:t>
      </w:r>
      <w:r>
        <w:rPr>
          <w:rStyle w:val="18"/>
          <w:rFonts w:hint="eastAsia" w:ascii="楷体" w:hAnsi="楷体" w:eastAsia="楷体"/>
          <w:spacing w:val="-4"/>
          <w:sz w:val="32"/>
          <w:szCs w:val="32"/>
        </w:rPr>
        <w:tab/>
        <w:t>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B3组织实施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（10分）</w:t>
      </w:r>
      <w:r>
        <w:rPr>
          <w:rStyle w:val="18"/>
          <w:rFonts w:hint="eastAsia" w:ascii="楷体" w:hAnsi="楷体" w:eastAsia="楷体"/>
          <w:spacing w:val="-4"/>
          <w:sz w:val="32"/>
          <w:szCs w:val="32"/>
        </w:rPr>
        <w:tab/>
        <w:t>组织实施</w:t>
      </w:r>
      <w:r>
        <w:rPr>
          <w:rStyle w:val="18"/>
          <w:rFonts w:hint="eastAsia" w:ascii="楷体" w:hAnsi="楷体" w:eastAsia="楷体"/>
          <w:spacing w:val="-4"/>
          <w:sz w:val="32"/>
          <w:szCs w:val="32"/>
        </w:rPr>
        <w:tab/>
        <w:t>制定和执行健全有效</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（1）B11资金到位率指标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资金到位率=（实际到位资金/预算资金）×100%。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项目总预算资金为1097万元，到位率为100%。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（2）B12预算执行率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预算执行率=（实际使用资金/到位资金）×100%。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根据项目拨款情况统计表，截止2024年12月31日，预算执行率为100%。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（3）B13资金使用合规性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根据各项目单位提供的资金执行情况统计表，项目相关单位在资金使用方面符合国家财经法规和财务管理制度以及有关专项资金管理办法的规定。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2024年新疆林科院森林生态研究所项目实施方案完整、且按年度对指标完成情况进行了细化，无重大调整。各项目均在实施初期阶段，基本能够按照实施方案和计划执行。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资金使用根据《新疆林科院科研项目及经费管理办法》（新林科院函〔2024〕34号）和《新疆林业科学院财务管理办法》相关要求制定了与科技项目管理相关的财务和业务管理制度，制度制定合法、合规、完整。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项目实施遵守《中华人民共和国预算法》和《新疆林科院科研项目及经费管理办法》（新林科院函〔2024〕34号）相关规定；项目合同书等资料齐全。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项目产出评价指标权重分值共计40分，根据评分标准得分40分，失分7分，得分33分，得分率82.5%，具体如下：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情况</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C项目产出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C1数量指标（30分）</w:t>
      </w:r>
      <w:r>
        <w:rPr>
          <w:rStyle w:val="18"/>
          <w:rFonts w:hint="eastAsia" w:ascii="楷体" w:hAnsi="楷体" w:eastAsia="楷体"/>
          <w:spacing w:val="-4"/>
          <w:sz w:val="32"/>
          <w:szCs w:val="32"/>
        </w:rPr>
        <w:tab/>
        <w:t>提交观测报告</w:t>
      </w:r>
      <w:r>
        <w:rPr>
          <w:rStyle w:val="18"/>
          <w:rFonts w:hint="eastAsia" w:ascii="楷体" w:hAnsi="楷体" w:eastAsia="楷体"/>
          <w:spacing w:val="-4"/>
          <w:sz w:val="32"/>
          <w:szCs w:val="32"/>
        </w:rPr>
        <w:tab/>
        <w:t>&gt;=3篇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=3篇</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购置材料批次</w:t>
      </w:r>
      <w:r>
        <w:rPr>
          <w:rStyle w:val="18"/>
          <w:rFonts w:hint="eastAsia" w:ascii="楷体" w:hAnsi="楷体" w:eastAsia="楷体"/>
          <w:spacing w:val="-4"/>
          <w:sz w:val="32"/>
          <w:szCs w:val="32"/>
        </w:rPr>
        <w:tab/>
        <w:t>&gt;=5次</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=5次</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监测指标</w:t>
      </w:r>
      <w:r>
        <w:rPr>
          <w:rStyle w:val="18"/>
          <w:rFonts w:hint="eastAsia" w:ascii="楷体" w:hAnsi="楷体" w:eastAsia="楷体"/>
          <w:spacing w:val="-4"/>
          <w:sz w:val="32"/>
          <w:szCs w:val="32"/>
        </w:rPr>
        <w:tab/>
        <w:t>&gt;=10次</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=10次</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绩效发放人数</w:t>
      </w:r>
      <w:r>
        <w:rPr>
          <w:rStyle w:val="18"/>
          <w:rFonts w:hint="eastAsia" w:ascii="楷体" w:hAnsi="楷体" w:eastAsia="楷体"/>
          <w:spacing w:val="-4"/>
          <w:sz w:val="32"/>
          <w:szCs w:val="32"/>
        </w:rPr>
        <w:tab/>
        <w:t>&gt;=10人</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=23人</w:t>
      </w:r>
      <w:r>
        <w:rPr>
          <w:rStyle w:val="18"/>
          <w:rFonts w:hint="eastAsia" w:ascii="楷体" w:hAnsi="楷体" w:eastAsia="楷体"/>
          <w:spacing w:val="-4"/>
          <w:sz w:val="32"/>
          <w:szCs w:val="32"/>
        </w:rPr>
        <w:tab/>
        <w:t>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C2质量指标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（5分）</w:t>
      </w:r>
      <w:r>
        <w:rPr>
          <w:rStyle w:val="18"/>
          <w:rFonts w:hint="eastAsia" w:ascii="楷体" w:hAnsi="楷体" w:eastAsia="楷体"/>
          <w:spacing w:val="-4"/>
          <w:sz w:val="32"/>
          <w:szCs w:val="32"/>
        </w:rPr>
        <w:tab/>
        <w:t>监测数据库准确率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2.5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材料、设备质量合格率</w:t>
      </w:r>
      <w:r>
        <w:rPr>
          <w:rStyle w:val="18"/>
          <w:rFonts w:hint="eastAsia" w:ascii="楷体" w:hAnsi="楷体" w:eastAsia="楷体"/>
          <w:spacing w:val="-4"/>
          <w:sz w:val="32"/>
          <w:szCs w:val="32"/>
        </w:rPr>
        <w:tab/>
        <w:t>=85%</w:t>
      </w:r>
      <w:r>
        <w:rPr>
          <w:rStyle w:val="18"/>
          <w:rFonts w:hint="eastAsia" w:ascii="楷体" w:hAnsi="楷体" w:eastAsia="楷体"/>
          <w:spacing w:val="-4"/>
          <w:sz w:val="32"/>
          <w:szCs w:val="32"/>
        </w:rPr>
        <w:tab/>
        <w:t>2.5</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tab/>
        <w:t>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C3时效指标（5分）</w:t>
      </w:r>
      <w:r>
        <w:rPr>
          <w:rStyle w:val="18"/>
          <w:rFonts w:hint="eastAsia" w:ascii="楷体" w:hAnsi="楷体" w:eastAsia="楷体"/>
          <w:spacing w:val="-4"/>
          <w:sz w:val="32"/>
          <w:szCs w:val="32"/>
        </w:rPr>
        <w:tab/>
        <w:t>任务按进度完成</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（1）提交观测报告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根据年初绩效目标，本年提交观测报告3篇，等于目标值，故得8分,得分率80%。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（2）购置材料批次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根据年初绩效目标，购置材料批次5次，等于目标值，故得4分，得分率80%。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（3）监测指标（次）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根据年初绩效目标，监测指标10次，等于目标值，故得8分,得分率80%。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（4）绩效发放人数（人）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根据年初绩效目标，绩效发放人数23人，大于目标值，故得4分,得分率80%。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（5）监测数据库准确率（%）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根据年初绩效目标，监测数据库准确率等于100%，等于目标值，故得2分,得分率80%。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该指标满分为2.5分，根据评分标准得2分。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（6）材料、设备质量合格率（%）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根据年初绩效目标，材料、设备质量合格率等于95%，大于目标值，故得2分,得分率80%。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该指标满分为2.5分，根据评分标准得2分。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（7）任务按进度完成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根据年初绩效目标，任务按进度完成等于95%，大于目标值，故得5分,得分率100%。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D项目效果(10分）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发表论文数（篇）</w:t>
      </w:r>
      <w:r>
        <w:rPr>
          <w:rStyle w:val="18"/>
          <w:rFonts w:hint="eastAsia" w:ascii="楷体" w:hAnsi="楷体" w:eastAsia="楷体"/>
          <w:spacing w:val="-4"/>
          <w:sz w:val="32"/>
          <w:szCs w:val="32"/>
        </w:rPr>
        <w:tab/>
        <w:t>&gt;=2篇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（1）发表论文数量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根据年初绩效目标，发表论文数量2篇，等于目标值，故得8分,得分率80%。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该指标满分为10分，根据评分标准得8分。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（1）科研人员满意度（%）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根据项目报送的项目绩效自评价报告，科研人员满意度=95%，完成目标值，故得8分，得分率80%。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该指标满分为10分，根据评分标准得8分。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主要经验及做法：优化资金使用计划，加强阶段性支出监管，确保后续年度预算执行效率。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存在的问题及原因分析：执行不力、外部因素等。 </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优化预算编制、加强过程监督；加强资金使用效率管理，确保预算执行与项目进度匹配。</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0F37BBD"/>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