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附件</w:t>
      </w:r>
      <w:r>
        <w:rPr>
          <w:rFonts w:hint="eastAsia" w:ascii="黑体" w:hAnsi="黑体" w:eastAsia="黑体" w:cs="黑体"/>
          <w:b w:val="0"/>
          <w:bCs w:val="0"/>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202</w:t>
      </w:r>
      <w:r>
        <w:rPr>
          <w:rFonts w:hint="eastAsia" w:ascii="方正小标宋_GBK" w:hAnsi="方正小标宋_GBK" w:eastAsia="方正小标宋_GBK" w:cs="方正小标宋_GBK"/>
          <w:b w:val="0"/>
          <w:bCs w:val="0"/>
          <w:sz w:val="44"/>
          <w:szCs w:val="44"/>
          <w:highlight w:val="none"/>
          <w:lang w:val="en-US" w:eastAsia="zh-CN"/>
        </w:rPr>
        <w:t>4</w:t>
      </w:r>
      <w:r>
        <w:rPr>
          <w:rFonts w:hint="eastAsia" w:ascii="方正小标宋_GBK" w:hAnsi="方正小标宋_GBK" w:eastAsia="方正小标宋_GBK" w:cs="方正小标宋_GBK"/>
          <w:b w:val="0"/>
          <w:bCs w:val="0"/>
          <w:sz w:val="44"/>
          <w:szCs w:val="44"/>
          <w:highlight w:val="none"/>
        </w:rPr>
        <w:t>年度新疆维吾尔自治区中央引导地方科技发展资金绩效自评报告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lang w:eastAsia="zh-CN"/>
        </w:rPr>
        <w:t>（一）中央下达本省引导资金</w:t>
      </w:r>
      <w:r>
        <w:rPr>
          <w:rFonts w:hint="eastAsia" w:ascii="方正楷体_GBK" w:hAnsi="方正楷体_GBK" w:eastAsia="方正楷体_GBK" w:cs="方正楷体_GBK"/>
          <w:b w:val="0"/>
          <w:bCs w:val="0"/>
          <w:sz w:val="32"/>
          <w:szCs w:val="32"/>
          <w:highlight w:val="none"/>
        </w:rPr>
        <w:t>预算情况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202</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年度，得益于中央对新疆的关心和支持，下达的引导资金</w:t>
      </w:r>
      <w:r>
        <w:rPr>
          <w:rFonts w:hint="eastAsia" w:ascii="方正仿宋_GBK" w:hAnsi="方正仿宋_GBK" w:eastAsia="方正仿宋_GBK" w:cs="方正仿宋_GBK"/>
          <w:b w:val="0"/>
          <w:bCs w:val="0"/>
          <w:sz w:val="32"/>
          <w:szCs w:val="32"/>
          <w:highlight w:val="none"/>
          <w:lang w:val="en-US" w:eastAsia="zh-CN"/>
        </w:rPr>
        <w:t>11087</w:t>
      </w:r>
      <w:r>
        <w:rPr>
          <w:rFonts w:hint="eastAsia" w:ascii="方正仿宋_GBK" w:hAnsi="方正仿宋_GBK" w:eastAsia="方正仿宋_GBK" w:cs="方正仿宋_GBK"/>
          <w:b w:val="0"/>
          <w:bCs w:val="0"/>
          <w:sz w:val="32"/>
          <w:szCs w:val="32"/>
          <w:highlight w:val="none"/>
          <w:lang w:eastAsia="zh-CN"/>
        </w:rPr>
        <w:t>万元，支持项目</w:t>
      </w:r>
      <w:r>
        <w:rPr>
          <w:rFonts w:hint="eastAsia" w:ascii="方正仿宋_GBK" w:hAnsi="方正仿宋_GBK" w:eastAsia="方正仿宋_GBK" w:cs="方正仿宋_GBK"/>
          <w:b w:val="0"/>
          <w:bCs w:val="0"/>
          <w:sz w:val="32"/>
          <w:szCs w:val="32"/>
          <w:highlight w:val="none"/>
          <w:lang w:val="en-US" w:eastAsia="zh-CN"/>
        </w:rPr>
        <w:t>136</w:t>
      </w:r>
      <w:r>
        <w:rPr>
          <w:rFonts w:hint="eastAsia" w:ascii="方正仿宋_GBK" w:hAnsi="方正仿宋_GBK" w:eastAsia="方正仿宋_GBK" w:cs="方正仿宋_GBK"/>
          <w:b w:val="0"/>
          <w:bCs w:val="0"/>
          <w:sz w:val="32"/>
          <w:szCs w:val="32"/>
          <w:highlight w:val="none"/>
          <w:lang w:eastAsia="zh-CN"/>
        </w:rPr>
        <w:t>个，其中，新上项目</w:t>
      </w:r>
      <w:r>
        <w:rPr>
          <w:rFonts w:hint="eastAsia" w:ascii="方正仿宋_GBK" w:hAnsi="方正仿宋_GBK" w:eastAsia="方正仿宋_GBK" w:cs="方正仿宋_GBK"/>
          <w:b w:val="0"/>
          <w:bCs w:val="0"/>
          <w:sz w:val="32"/>
          <w:szCs w:val="32"/>
          <w:highlight w:val="none"/>
          <w:lang w:val="en-US" w:eastAsia="zh-CN"/>
        </w:rPr>
        <w:t>88</w:t>
      </w:r>
      <w:r>
        <w:rPr>
          <w:rFonts w:hint="eastAsia" w:ascii="方正仿宋_GBK" w:hAnsi="方正仿宋_GBK" w:eastAsia="方正仿宋_GBK" w:cs="方正仿宋_GBK"/>
          <w:b w:val="0"/>
          <w:bCs w:val="0"/>
          <w:sz w:val="32"/>
          <w:szCs w:val="32"/>
          <w:highlight w:val="none"/>
          <w:lang w:eastAsia="zh-CN"/>
        </w:rPr>
        <w:t>项，结转项目</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8项。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新疆紧跟中央科技发展规划部署，围绕落实国家创新驱动发展战略和科技改革发展政策、优化区域科技创新环境、提升区域科技创新能力的主要目标和方向，结合引导资金支持范围，高度重视，精心组织，共计安排科技计划项目</w:t>
      </w:r>
      <w:r>
        <w:rPr>
          <w:rFonts w:hint="eastAsia" w:ascii="方正仿宋_GBK" w:hAnsi="方正仿宋_GBK" w:eastAsia="方正仿宋_GBK" w:cs="方正仿宋_GBK"/>
          <w:b w:val="0"/>
          <w:bCs w:val="0"/>
          <w:sz w:val="32"/>
          <w:szCs w:val="32"/>
          <w:highlight w:val="none"/>
          <w:lang w:val="en-US" w:eastAsia="zh-CN"/>
        </w:rPr>
        <w:t>136</w:t>
      </w:r>
      <w:r>
        <w:rPr>
          <w:rFonts w:hint="eastAsia" w:ascii="方正仿宋_GBK" w:hAnsi="方正仿宋_GBK" w:eastAsia="方正仿宋_GBK" w:cs="方正仿宋_GBK"/>
          <w:b w:val="0"/>
          <w:bCs w:val="0"/>
          <w:sz w:val="32"/>
          <w:szCs w:val="32"/>
          <w:highlight w:val="none"/>
          <w:lang w:eastAsia="zh-CN"/>
        </w:rPr>
        <w:t>个，并向科技部、财政部报送了《中央引导地方科技发展资金区域绩效目标表（202</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年度）》，具体如下：</w:t>
      </w:r>
    </w:p>
    <w:tbl>
      <w:tblPr>
        <w:tblStyle w:val="9"/>
        <w:tblW w:w="10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179"/>
        <w:gridCol w:w="735"/>
        <w:gridCol w:w="2236"/>
        <w:gridCol w:w="2200"/>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中央引导地方科技发展资金区域绩效目标表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9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中央引导地方科技发展资金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69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财政部、科技部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省级财政部门</w:t>
            </w:r>
          </w:p>
        </w:tc>
        <w:tc>
          <w:tcPr>
            <w:tcW w:w="29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新疆维吾尔自治区财政厅</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新疆维吾尔自治区财政厅、科技厅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9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年度金额：</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9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其中：中央补助</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9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地方资金</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w:t>
            </w:r>
          </w:p>
        </w:tc>
        <w:tc>
          <w:tcPr>
            <w:tcW w:w="813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2024年度，新疆</w:t>
            </w:r>
            <w:r>
              <w:rPr>
                <w:rFonts w:hint="default" w:ascii="宋体" w:hAnsi="宋体" w:cs="宋体"/>
                <w:i w:val="0"/>
                <w:color w:val="000000"/>
                <w:kern w:val="0"/>
                <w:sz w:val="20"/>
                <w:szCs w:val="20"/>
                <w:u w:val="none"/>
                <w:lang w:eastAsia="zh-CN" w:bidi="ar"/>
              </w:rPr>
              <w:t>贯彻</w:t>
            </w:r>
            <w:r>
              <w:rPr>
                <w:rFonts w:hint="eastAsia" w:ascii="宋体" w:hAnsi="宋体" w:eastAsia="宋体" w:cs="宋体"/>
                <w:i w:val="0"/>
                <w:color w:val="000000"/>
                <w:kern w:val="0"/>
                <w:sz w:val="20"/>
                <w:szCs w:val="20"/>
                <w:u w:val="none"/>
                <w:lang w:val="en-US" w:eastAsia="zh-CN" w:bidi="ar"/>
              </w:rPr>
              <w:t>中央科技发展规划部署，落实国家创新驱动发展战略和科技改革发展政策，结合新疆科技工作实际，围绕“八大产业集群”及水资源高效利用、生物医药、生态环保、社会治理等重大科技需求，以科技促进产业链创新链深度融合为重点，加快关键核心技术攻关，支持区域科技创新体系建设、科技创新基地建设、科技成果转移转化</w:t>
            </w:r>
            <w:r>
              <w:rPr>
                <w:rFonts w:hint="default" w:ascii="宋体" w:hAnsi="宋体" w:cs="宋体"/>
                <w:i w:val="0"/>
                <w:color w:val="000000"/>
                <w:kern w:val="0"/>
                <w:sz w:val="20"/>
                <w:szCs w:val="20"/>
                <w:u w:val="none"/>
                <w:lang w:eastAsia="zh-CN" w:bidi="ar"/>
              </w:rPr>
              <w:t>、自由探索类基础研究</w:t>
            </w:r>
            <w:r>
              <w:rPr>
                <w:rFonts w:hint="eastAsia" w:ascii="宋体" w:hAnsi="宋体" w:eastAsia="宋体" w:cs="宋体"/>
                <w:i w:val="0"/>
                <w:color w:val="000000"/>
                <w:kern w:val="0"/>
                <w:sz w:val="20"/>
                <w:szCs w:val="20"/>
                <w:u w:val="none"/>
                <w:lang w:val="en-US" w:eastAsia="zh-CN" w:bidi="ar"/>
              </w:rPr>
              <w:t>等</w:t>
            </w:r>
            <w:r>
              <w:rPr>
                <w:rFonts w:hint="default" w:ascii="宋体" w:hAnsi="宋体" w:cs="宋体"/>
                <w:i w:val="0"/>
                <w:color w:val="000000"/>
                <w:kern w:val="0"/>
                <w:sz w:val="20"/>
                <w:szCs w:val="20"/>
                <w:u w:val="none"/>
                <w:lang w:eastAsia="zh-CN" w:bidi="ar"/>
              </w:rPr>
              <w:t>四</w:t>
            </w:r>
            <w:r>
              <w:rPr>
                <w:rFonts w:hint="eastAsia" w:ascii="宋体" w:hAnsi="宋体" w:eastAsia="宋体" w:cs="宋体"/>
                <w:i w:val="0"/>
                <w:color w:val="000000"/>
                <w:kern w:val="0"/>
                <w:sz w:val="20"/>
                <w:szCs w:val="20"/>
                <w:u w:val="none"/>
                <w:lang w:val="en-US" w:eastAsia="zh-CN" w:bidi="ar"/>
              </w:rPr>
              <w:t>个方面项目。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0"/>
                <w:szCs w:val="20"/>
                <w:u w:val="none"/>
              </w:rPr>
            </w:pPr>
            <w:r>
              <w:rPr>
                <w:rFonts w:hint="default" w:ascii="宋体" w:hAnsi="宋体" w:eastAsia="宋体" w:cs="宋体"/>
                <w:i w:val="0"/>
                <w:color w:val="000000"/>
                <w:sz w:val="20"/>
                <w:szCs w:val="20"/>
                <w:u w:val="none"/>
              </w:rPr>
              <w:t>产出指标</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0"/>
                <w:szCs w:val="20"/>
                <w:u w:val="none"/>
              </w:rPr>
            </w:pPr>
            <w:r>
              <w:rPr>
                <w:rFonts w:hint="default" w:ascii="宋体" w:hAnsi="宋体" w:eastAsia="宋体" w:cs="宋体"/>
                <w:i w:val="0"/>
                <w:color w:val="000000"/>
                <w:sz w:val="20"/>
                <w:szCs w:val="20"/>
                <w:u w:val="none"/>
              </w:rPr>
              <w:t>数量指标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支持建设科技创新基地项目数量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转化科技成果数量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163项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支持央地协同重大科技项目数量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支持区域创新载体项目数量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支持东西部科技合作及区域协同创新项目数量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资金拨付及时率</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带动社会投入与引导资金投入比例</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促进科技投融资金额</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支持高新技术企业数量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支持科技型中小企业数量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促进技术合同成交额</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带动地方投入东西科技合作及区域协同创新资金</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区域科技创新能力</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培训从事技术创新服务人员数量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≥4906人次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提供技术咨询/技术服务数量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科技帮扶支撑乡村振兴项目数量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培训技术经纪人数量</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4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被服务对象满意度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9"/>
        <w:rPr>
          <w:rFonts w:hint="eastAsia" w:ascii="方正仿宋_GBK" w:hAnsi="方正仿宋_GBK" w:eastAsia="方正仿宋_GBK" w:cs="方正仿宋_GBK"/>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lang w:eastAsia="zh-CN"/>
        </w:rPr>
        <w:t>（二）</w:t>
      </w:r>
      <w:r>
        <w:rPr>
          <w:rFonts w:hint="eastAsia" w:ascii="方正楷体_GBK" w:hAnsi="方正楷体_GBK" w:eastAsia="方正楷体_GBK" w:cs="方正楷体_GBK"/>
          <w:b w:val="0"/>
          <w:bCs w:val="0"/>
          <w:sz w:val="32"/>
          <w:szCs w:val="32"/>
          <w:highlight w:val="none"/>
        </w:rPr>
        <w:t>省内资金安排、分解下达预算和绩效目标情况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2024年度引导资金，聚焦</w:t>
      </w:r>
      <w:r>
        <w:rPr>
          <w:rFonts w:hint="eastAsia" w:ascii="方正仿宋_GBK" w:hAnsi="方正仿宋_GBK" w:eastAsia="方正仿宋_GBK" w:cs="方正仿宋_GBK"/>
          <w:sz w:val="32"/>
          <w:szCs w:val="32"/>
          <w:highlight w:val="none"/>
          <w:lang w:eastAsia="zh-CN"/>
        </w:rPr>
        <w:t>新疆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十</w:t>
      </w:r>
      <w:r>
        <w:rPr>
          <w:rFonts w:hint="eastAsia" w:ascii="方正仿宋_GBK" w:hAnsi="方正仿宋_GBK" w:eastAsia="方正仿宋_GBK" w:cs="方正仿宋_GBK"/>
          <w:sz w:val="32"/>
          <w:szCs w:val="32"/>
          <w:highlight w:val="none"/>
        </w:rPr>
        <w:t>大产业集群”、生态环境保护、生命健康等重点领域，支持区域科技创新体系建设、科技创新基地建设、科技成果转移转化、自由探索类基础研究等四个方面项目，推动面向中亚的区域科技创新中心建设。项目采取直接补助和后补助支持方式；对企业承担的项目在绩效评估后，以后补助方式予以支持。</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区域创新体系建设</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lang w:eastAsia="zh-CN"/>
        </w:rPr>
        <w:t>一是</w:t>
      </w: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支持“一带一路”联合实验室、国际科技合作基地、国家引才引智示范基地、外商投资在疆设立的研发中心等实施的科研项目。</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支持国家自贸区、高新技术产业开发区、农业科技园区，国家创新型县市等的创新主体，以及科技企业孵化器、众创空间、星创天地，为提升区域科技创新能力开展的科技研发活动和技术创新公共服务平台建设。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本年度支持区域创新体系建设项目</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个（新上直接支持项目</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个，新上后补助项目</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个，结转项目</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个）、经费</w:t>
      </w:r>
      <w:r>
        <w:rPr>
          <w:rFonts w:hint="eastAsia" w:ascii="方正仿宋_GBK" w:hAnsi="方正仿宋_GBK" w:eastAsia="方正仿宋_GBK" w:cs="方正仿宋_GBK"/>
          <w:sz w:val="32"/>
          <w:szCs w:val="32"/>
          <w:highlight w:val="none"/>
          <w:lang w:val="en-US" w:eastAsia="zh-CN"/>
        </w:rPr>
        <w:t>855</w:t>
      </w:r>
      <w:r>
        <w:rPr>
          <w:rFonts w:hint="eastAsia" w:ascii="方正仿宋_GBK" w:hAnsi="方正仿宋_GBK" w:eastAsia="方正仿宋_GBK" w:cs="方正仿宋_GBK"/>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2.科技创新基地建设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支持国家、省部共建国家重点实验室，自治区重点实验室、工程技术研究中心、技术创新中心、临床医学研究中心、野外科学观测研究站、新型研发机构等购置科研仪器设备，提升科研创新能力。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本年度支持科技创新基地建设项目</w:t>
      </w:r>
      <w:r>
        <w:rPr>
          <w:rFonts w:hint="eastAsia" w:ascii="方正仿宋_GBK" w:hAnsi="方正仿宋_GBK" w:eastAsia="方正仿宋_GBK" w:cs="方正仿宋_GBK"/>
          <w:sz w:val="32"/>
          <w:szCs w:val="32"/>
          <w:highlight w:val="none"/>
          <w:lang w:val="en-US" w:eastAsia="zh-CN"/>
        </w:rPr>
        <w:t>49</w:t>
      </w:r>
      <w:r>
        <w:rPr>
          <w:rFonts w:hint="eastAsia" w:ascii="方正仿宋_GBK" w:hAnsi="方正仿宋_GBK" w:eastAsia="方正仿宋_GBK" w:cs="方正仿宋_GBK"/>
          <w:sz w:val="32"/>
          <w:szCs w:val="32"/>
          <w:highlight w:val="none"/>
        </w:rPr>
        <w:t>个（新上直接支持项目</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rPr>
        <w:t>个，新上后补助项目</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个，结转项目</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rPr>
        <w:t>个）、经费</w:t>
      </w:r>
      <w:r>
        <w:rPr>
          <w:rFonts w:hint="eastAsia" w:ascii="方正仿宋_GBK" w:hAnsi="方正仿宋_GBK" w:eastAsia="方正仿宋_GBK" w:cs="方正仿宋_GBK"/>
          <w:sz w:val="32"/>
          <w:szCs w:val="32"/>
          <w:highlight w:val="none"/>
          <w:lang w:val="en-US" w:eastAsia="zh-CN"/>
        </w:rPr>
        <w:t>5324</w:t>
      </w:r>
      <w:r>
        <w:rPr>
          <w:rFonts w:hint="eastAsia" w:ascii="方正仿宋_GBK" w:hAnsi="方正仿宋_GBK" w:eastAsia="方正仿宋_GBK" w:cs="方正仿宋_GBK"/>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3.科技成果转移转化</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lang w:eastAsia="zh-CN"/>
        </w:rPr>
        <w:t>一是</w:t>
      </w: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支持南疆县（市）为发展壮大特色优势产业而开展的科技成果转化项目，项目应有科技特派员参与。</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支持东西部科技合作以及同其他省区市开展的跨区域科技合作。</w:t>
      </w:r>
      <w:r>
        <w:rPr>
          <w:rFonts w:hint="eastAsia" w:ascii="方正仿宋_GBK" w:hAnsi="方正仿宋_GBK" w:eastAsia="方正仿宋_GBK" w:cs="方正仿宋_GBK"/>
          <w:b/>
          <w:bCs/>
          <w:sz w:val="32"/>
          <w:szCs w:val="32"/>
          <w:highlight w:val="none"/>
          <w:lang w:eastAsia="zh-CN"/>
        </w:rPr>
        <w:t>三是</w:t>
      </w:r>
      <w:r>
        <w:rPr>
          <w:rFonts w:hint="eastAsia" w:ascii="方正仿宋_GBK" w:hAnsi="方正仿宋_GBK" w:eastAsia="方正仿宋_GBK" w:cs="方正仿宋_GBK"/>
          <w:sz w:val="32"/>
          <w:szCs w:val="32"/>
          <w:highlight w:val="none"/>
          <w:lang w:eastAsia="zh-CN"/>
        </w:rPr>
        <w:t>重点</w:t>
      </w:r>
      <w:r>
        <w:rPr>
          <w:rFonts w:hint="eastAsia" w:ascii="方正仿宋_GBK" w:hAnsi="方正仿宋_GBK" w:eastAsia="方正仿宋_GBK" w:cs="方正仿宋_GBK"/>
          <w:sz w:val="32"/>
          <w:szCs w:val="32"/>
          <w:highlight w:val="none"/>
        </w:rPr>
        <w:t>支持国家、自治区级技术转移转化中心等公共服务平台建设。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本年度支持科技成果转移转化项目</w:t>
      </w:r>
      <w:r>
        <w:rPr>
          <w:rFonts w:hint="eastAsia" w:ascii="方正仿宋_GBK" w:hAnsi="方正仿宋_GBK" w:eastAsia="方正仿宋_GBK" w:cs="方正仿宋_GBK"/>
          <w:sz w:val="32"/>
          <w:szCs w:val="32"/>
          <w:highlight w:val="none"/>
          <w:lang w:val="en-US" w:eastAsia="zh-CN"/>
        </w:rPr>
        <w:t>45</w:t>
      </w:r>
      <w:r>
        <w:rPr>
          <w:rFonts w:hint="eastAsia" w:ascii="方正仿宋_GBK" w:hAnsi="方正仿宋_GBK" w:eastAsia="方正仿宋_GBK" w:cs="方正仿宋_GBK"/>
          <w:sz w:val="32"/>
          <w:szCs w:val="32"/>
          <w:highlight w:val="none"/>
        </w:rPr>
        <w:t>个（新上直接支持项目</w:t>
      </w:r>
      <w:r>
        <w:rPr>
          <w:rFonts w:hint="eastAsia" w:ascii="方正仿宋_GBK" w:hAnsi="方正仿宋_GBK" w:eastAsia="方正仿宋_GBK" w:cs="方正仿宋_GBK"/>
          <w:sz w:val="32"/>
          <w:szCs w:val="32"/>
          <w:highlight w:val="none"/>
          <w:lang w:val="en-US" w:eastAsia="zh-CN"/>
        </w:rPr>
        <w:t>23</w:t>
      </w:r>
      <w:r>
        <w:rPr>
          <w:rFonts w:hint="eastAsia" w:ascii="方正仿宋_GBK" w:hAnsi="方正仿宋_GBK" w:eastAsia="方正仿宋_GBK" w:cs="方正仿宋_GBK"/>
          <w:sz w:val="32"/>
          <w:szCs w:val="32"/>
          <w:highlight w:val="none"/>
        </w:rPr>
        <w:t>个，新上后补助项目</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个，结转项目</w:t>
      </w:r>
      <w:r>
        <w:rPr>
          <w:rFonts w:hint="eastAsia" w:ascii="方正仿宋_GBK" w:hAnsi="方正仿宋_GBK" w:eastAsia="方正仿宋_GBK" w:cs="方正仿宋_GBK"/>
          <w:sz w:val="32"/>
          <w:szCs w:val="32"/>
          <w:highlight w:val="none"/>
          <w:lang w:val="en-US" w:eastAsia="zh-CN"/>
        </w:rPr>
        <w:t>13</w:t>
      </w:r>
      <w:r>
        <w:rPr>
          <w:rFonts w:hint="eastAsia" w:ascii="方正仿宋_GBK" w:hAnsi="方正仿宋_GBK" w:eastAsia="方正仿宋_GBK" w:cs="方正仿宋_GBK"/>
          <w:sz w:val="32"/>
          <w:szCs w:val="32"/>
          <w:highlight w:val="none"/>
        </w:rPr>
        <w:t>个）、经费</w:t>
      </w:r>
      <w:r>
        <w:rPr>
          <w:rFonts w:hint="eastAsia" w:ascii="方正仿宋_GBK" w:hAnsi="方正仿宋_GBK" w:eastAsia="方正仿宋_GBK" w:cs="方正仿宋_GBK"/>
          <w:sz w:val="32"/>
          <w:szCs w:val="32"/>
          <w:highlight w:val="none"/>
          <w:lang w:val="en-US" w:eastAsia="zh-CN"/>
        </w:rPr>
        <w:t>4093</w:t>
      </w:r>
      <w:r>
        <w:rPr>
          <w:rFonts w:hint="eastAsia" w:ascii="方正仿宋_GBK" w:hAnsi="方正仿宋_GBK" w:eastAsia="方正仿宋_GBK" w:cs="方正仿宋_GBK"/>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4.自由探索类基础研究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重点支持</w:t>
      </w:r>
      <w:r>
        <w:rPr>
          <w:rFonts w:hint="eastAsia" w:ascii="方正仿宋_GBK" w:hAnsi="方正仿宋_GBK" w:eastAsia="方正仿宋_GBK" w:cs="方正仿宋_GBK"/>
          <w:sz w:val="32"/>
          <w:szCs w:val="32"/>
          <w:highlight w:val="none"/>
        </w:rPr>
        <w:t>聚焦我区重大科学问题，具有前瞻性、先导性、引领性的基础研究项目。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本年度支持自由探索类基础研究项目</w:t>
      </w:r>
      <w:r>
        <w:rPr>
          <w:rFonts w:hint="eastAsia" w:ascii="方正仿宋_GBK" w:hAnsi="方正仿宋_GBK" w:eastAsia="方正仿宋_GBK" w:cs="方正仿宋_GBK"/>
          <w:sz w:val="32"/>
          <w:szCs w:val="32"/>
          <w:highlight w:val="none"/>
          <w:lang w:val="en-US" w:eastAsia="zh-CN"/>
        </w:rPr>
        <w:t>32</w:t>
      </w:r>
      <w:r>
        <w:rPr>
          <w:rFonts w:hint="eastAsia" w:ascii="方正仿宋_GBK" w:hAnsi="方正仿宋_GBK" w:eastAsia="方正仿宋_GBK" w:cs="方正仿宋_GBK"/>
          <w:sz w:val="32"/>
          <w:szCs w:val="32"/>
          <w:highlight w:val="none"/>
        </w:rPr>
        <w:t>个（新上直接支持项目</w:t>
      </w:r>
      <w:r>
        <w:rPr>
          <w:rFonts w:hint="eastAsia" w:ascii="方正仿宋_GBK" w:hAnsi="方正仿宋_GBK" w:eastAsia="方正仿宋_GBK" w:cs="方正仿宋_GBK"/>
          <w:sz w:val="32"/>
          <w:szCs w:val="32"/>
          <w:highlight w:val="none"/>
          <w:lang w:val="en-US" w:eastAsia="zh-CN"/>
        </w:rPr>
        <w:t>18</w:t>
      </w:r>
      <w:r>
        <w:rPr>
          <w:rFonts w:hint="eastAsia" w:ascii="方正仿宋_GBK" w:hAnsi="方正仿宋_GBK" w:eastAsia="方正仿宋_GBK" w:cs="方正仿宋_GBK"/>
          <w:sz w:val="32"/>
          <w:szCs w:val="32"/>
          <w:highlight w:val="none"/>
        </w:rPr>
        <w:t>个，新上后补助项目</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个，结转项目</w:t>
      </w:r>
      <w:r>
        <w:rPr>
          <w:rFonts w:hint="eastAsia" w:ascii="方正仿宋_GBK" w:hAnsi="方正仿宋_GBK" w:eastAsia="方正仿宋_GBK" w:cs="方正仿宋_GBK"/>
          <w:sz w:val="32"/>
          <w:szCs w:val="32"/>
          <w:highlight w:val="none"/>
          <w:lang w:val="en-US" w:eastAsia="zh-CN"/>
        </w:rPr>
        <w:t>13</w:t>
      </w:r>
      <w:r>
        <w:rPr>
          <w:rFonts w:hint="eastAsia" w:ascii="方正仿宋_GBK" w:hAnsi="方正仿宋_GBK" w:eastAsia="方正仿宋_GBK" w:cs="方正仿宋_GBK"/>
          <w:sz w:val="32"/>
          <w:szCs w:val="32"/>
          <w:highlight w:val="none"/>
        </w:rPr>
        <w:t>个）、经费</w:t>
      </w:r>
      <w:r>
        <w:rPr>
          <w:rFonts w:hint="eastAsia" w:ascii="方正仿宋_GBK" w:hAnsi="方正仿宋_GBK" w:eastAsia="方正仿宋_GBK" w:cs="方正仿宋_GBK"/>
          <w:sz w:val="32"/>
          <w:szCs w:val="32"/>
          <w:highlight w:val="none"/>
          <w:lang w:val="en-US" w:eastAsia="zh-CN"/>
        </w:rPr>
        <w:t>815</w:t>
      </w:r>
      <w:r>
        <w:rPr>
          <w:rFonts w:hint="eastAsia" w:ascii="方正仿宋_GBK" w:hAnsi="方正仿宋_GBK" w:eastAsia="方正仿宋_GBK" w:cs="方正仿宋_GBK"/>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具体如下：</w:t>
      </w:r>
    </w:p>
    <w:tbl>
      <w:tblPr>
        <w:tblStyle w:val="9"/>
        <w:tblW w:w="9932"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4260"/>
        <w:gridCol w:w="3378"/>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932"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2024年中央引导地方科技发展专项资金安排资金情况表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申报单位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安排资金</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11087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一、区域科技创新体系建设</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（一）结转项目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新疆科技计划数据综合服务体系研究与应用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新疆维吾尔自治区科技项目服务中心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新疆地区缺血性脑卒中风险筛查及多模态影像人工智能研究服务平台建设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（二）新上项目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中亚农作物种质资源引进中转基地建设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新疆农业科学院农作物品种资源研究所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新疆科技创新服务数字化平台建设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新疆科技发展战略研究院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西甜瓜智能高效机械化移栽关键技术与装备研发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新疆农业职业技术学院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面向大型风电装备装配集成的数字化工厂建设关键技术与应用示范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金风科技股份有限公司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调理番茄制品加工关键技术开发与产业化应用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新疆新康农业发展有限公司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超薄柔性玻璃（UTG）下拉成型方法研究与应用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新疆腾宇光电科技有限公司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石化产业导向型科技企业孵化器服务平台建设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克拉玛依市先进能源技术创新有限公司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阿拉山口数字口岸业务协同及安全保障技术研发及应用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阿拉山口陆港建设有限责任公司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二、科技创新基地建设</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5324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（一）结转项目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新疆设施绿色果蔬生产加工工程及智能化装备技术研究与基地建设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基于新一代信息技术的露天矿智能边坡监测技术体系研究与应用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新疆工程学院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基于氯碱产业的腐蚀防护与在线监测技术应用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寒旱环境混凝土结构抗裂关键技术研究创新基地</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新疆水利水电科学研究院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地面碘化银智能催化系统研制与应用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新疆维吾尔自治区人工影响天气办公室</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“一带一路”国际绿色农药研制及应用技术创新基地建设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新疆农业科学院农药试制中心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新疆特色林果机械装备工程技术创新平台建设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红枣精深加工及深层次综合利用科技创新基地建设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生物饲料研发创新平台建设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羊遗传资源评价与利用实验平台建设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新疆畜牧科学院畜牧研究所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新疆特色天然药物化合物示范库及特高发疾病药物筛选平台的构建及应用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粉煤高值化利用平台建设及成型关键技术、热解适应性研究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新疆小麦优质强筋种质资源创新与品质改良基地建设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新疆农业科学院核技术生物技术研究所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中国—哈萨克斯坦畜牧种质资源挖掘与创新技术研究基地建设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新疆畜牧科学院畜牧业质量标准研究所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新疆棉花病虫害绿色防控技术研发与应用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中国农业科学院西部农业研究中心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沼渣基水热炭强化畜禽粪污厌氧消化关键技术与工程示范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喀什大学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浮动式球阀阀座密封结构</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乌苏市北方新科有限公司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优异乳酸菌在发酵辣椒制品中的产业化研究与应用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新疆新康农业发展有限公司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新疆机电行业物联网技术创新平台建设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新疆电子研究所股份有限公司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构网型光伏并网关键技术研究及核心产品研制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特变电工新疆新能源股份有限公司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（二）新上项目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4257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中亚高发病分子细胞前沿创新研究平台建设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新疆呼吸系统疾病科研创新平台能力提升建设项目</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新疆维吾尔自治区中医药研究院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新疆骨科疾病临床医学研究中心平台建设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新疆特色农产品品质评价及功能挖掘平台建设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新疆农业科学院农业质量标准与检测技术研究所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新疆地区胃肠道肿瘤规范化诊疗体系及医疗大数据库建设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新疆医科大学附属肿瘤医院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新疆中药民族药制剂研发创新平台建设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新疆维吾尔自治区维吾尔医院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新疆动物疫病科技创新生物安全平台建设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新疆畜牧科学兽医研究所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新疆智慧牧草良种繁育创新基地建设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新疆畜牧科学院草业研究所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固废资源危险属性识别与调控平台建设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新疆维吾尔自治区环境保护科学研究院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基于大数据的肝包虫病智能化精准诊疗创新基地的建设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消化道早期肿瘤全链条诊疗体系的建立及应用推广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新疆维吾尔自治区人民医院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基于人工智能的肝脏占位病变超声同质化诊断平台建设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医疗机构中药制剂研发实验孵化科技创新基地建设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新疆维吾尔自治区中医药研究院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新疆食用菌智能云方仓工厂化技术创新基地建设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新疆林果栽培与加工技术平台建设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新疆林业科学院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新疆基地浅埋煤层多重复杂介质地下水突水防治关键技术及应用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新疆工程学院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新疆特色果蔬绿色非热加工创新平台建设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新疆农业科学院农产品贮藏加工研究所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新疆小麦抗逆防灾减损全程化控技术体系构建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新疆农业科学院核技术生物技术研究所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棉花功能基因鉴定与基因编辑育种平台建设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国家棉花工程技术研究中心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突出煤层上覆关键层压裂应力--瓦斯压力双重卸压机理及精准防突</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新疆工程学院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基于油藏模型的钻井、压裂现场异常诊断分析关键技术研发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红有软件股份有限公司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基于碱金属及温度场在线测量的准东煤高效燃烧及清洁利用技术研究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新特能源股份有限公司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新疆物联网感知与控制重点实验室科研创新能力提升</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新疆西北星信息技术有限责任公司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基于稳定高效宽带隙钙钛矿电池的钙钛矿/晶硅叠层电池制备关键技术研究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新特能源股份有限公司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能源互联网与电力电子实验室能力提升建设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特变电工新疆新能源股份有限公司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智能农机装备电气液压控制系统试验平台建设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新疆新研牧神科技有限公司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新疆煤化工助剂研发及产业化科技创新基地建设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乌鲁木齐市华泰隆化学助剂有限公司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工业大数据要素应用与工业智能创新平台建设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新疆电子研究所股份有限公司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多晶硅还原炉高性能涂层制备技术研究开发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新特能源股份有限公司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三、科技成果转移转化</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4093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（一）结转项目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国家技术转移示范机构能力提升建设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新疆农业科学院科技成果转化中心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专门化运动马培育技术应用与推广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新疆维吾尔自治区畜牧总站</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新疆重要马病诊防关键技术的集成创新与应用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棉秸秆饲料化技术推广与示范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新疆畜牧科学院饲料研究所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新疆鲜食玉米“种、养、加”技术集成示范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新疆农科院综合试验场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基于“一厂一品”中棉113高品质棉关键技术集成与应用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中国农业科学院西部农业研究中心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高堡膜在新疆经济作物上的应用及推广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喀什地区农业技术推广中心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棉田残膜回收装备智能化升级研究与成果转化应用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基于多模态影像技术联合实时影像虚拟导航系统在复杂肝脏疾病精准手术治疗中的技术创新及推广应用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新疆维吾尔自治区人民医院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新疆地产特色制剂宝心艾维西木口服液新药临床前研究及成果转化</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新疆维吾尔自治区维吾尔医医院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核桃采后高效处理关键技术装备推广与示范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甜瓜露地高效轻简化栽培关键技术示范应用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新疆农科院哈密瓜中心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新疆电解锰阳极泥资源综合利用产业化应用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阿克陶科邦锰业制造有限公司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（二）新上项目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3797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犊牛和羔羊常见病原快速筛检技术集成和示范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抗寒坚果良种种质创新及关键技术研发与示范用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新疆林业科学院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阿克苏棉花绿色增产增效技术集成与示范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优质强筋春小麦核春1号和丰源春3号良种繁育及绿色高效关键技术研究与应用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新疆农业科学院核技术生物技术研究所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基于代谢组学的有机果蔬产业科技创新平台</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新疆维吾尔自治区分析测试研究院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基于质谱芯片技术检测布鲁氏菌感染诊断试剂盒的研制和应用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新疆医科大学附属肿瘤医院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心血管疾病高危人群“全病程智能管理平台”的研发、建设及应用示范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新疆地区低品质煤清洁高效分选提质关键技术</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新疆工程学院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基于重度盐碱地综合利用的富硒雨生红球藻工业化培育及功能食品开发示范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克孜勒苏职业技术学院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盐碱地绿色低碳修复改良技术集成与应用示范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喀什大学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南疆区小麦-玉米微喷灌水肥一体化技术集成与示范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巴音郭楞职业技术学院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基于智能感知与大数据分析的煤基醇氨联产深加工关键技术研发与应用示范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新疆工程学院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多源信息融合的风电机组智能控制技术及应用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单基因糖尿病精准诊断体系的建立及推广应用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新疆维吾尔自治区人民医院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新型医养结合背景下智慧养老体系的建设及推广应用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新疆医科大学第七附属医院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基于数字眼科智能体系的新三级诊疗的模式构建和应用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阿克苏地区第一人民医院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基于人工智能和混合现实技术的肝脏外科精准手术规划系统研发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吐鲁番市人民医院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新疆科技成果转移转化、人才培养及科技金融协同创新服务机构建设</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新疆维吾尔自治区科技人才开发中心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沙漠小麦水肥一体化精准控制关键技术应用推广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北疆供水一期工程安全高效运行保障关键技术研究与应用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核桃精细化低损加工技术与装备集成示范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饲草饲料成型产品加工应用技术示范与推广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阿克苏地区中农大联合研究院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棉、油、糖数字精准高效生产技术体系集成与示范推广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新疆农业科学院经济作物研究所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沙棘果渣和叶中降血脂物质提取技术开发及集成应用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新疆中科沙棘科技有限公司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新疆特色油料精准加工新技术研发与应用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乌鲁木齐上善元生物科技有限公司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新疆特色木本油料品质评价与加工利用研究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喀什光华现代农业有限公司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鲜食玉米新品种引进及节能清洁加工技术集成示范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新疆德添农农业科技有限公司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智能种草箱与新鲜营养可调整型饲草供应重大装备研发及产业化示范</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新疆紫晶川梭高新农业股份有限公司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载药囊泡肿瘤治疗技术在癌性胸腹水治疗领域的临床转化及应用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新疆西部赛澳生物科技有限责任公司（新疆组织细胞工程重点实验室）、湖北盛齐安生物科技股份有限公司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中药1.1类创新药“复方内鲁帕尔抗病毒颗粒”临床前研究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和田维吾尔药业股份有限公司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低热值焦炉煤气高效清洁发电技术及产业化</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新疆新伊碳能环保科技股份有限公司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“新疆科技成果(技术)交易中心”公共服务平台的建设与推广</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新疆高新人才运营管理有限公司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四、自由探索类基础研究</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（一）结转项目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野生野猪戊型肝炎病毒向人-杂交野猪-家猪交界面传播的适应性进化机制及潜在风险研究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载anti-miR-33分阶段靶向超声分子探针通过精准调控巨噬细胞胆固醇外排及胞葬作用实现动脉粥样硬化超声可视化靶向治疗的研究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新疆艾比湖地区典型盐生植物对盐渍土的适应和调控</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基于生物电化学系统的人工湿地强化典型难降解新兴有机污染物去除及其机制研究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钴基碳纳米管的表界面调控及电催化水分解性能研究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富铋型卤氧化物/低维煤基碳材料复合物的结构设计和光催化机理研究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粉末积层型电极箔抗水化氧化膜的制备与机理研究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难处理高酸值原油乳化转相机制及应用堵水研究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中国石油大学（北京）克拉玛依校区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拉曼光谱技术探测肿瘤微环境中放疗抵抗特征的研究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干旱绿洲区滴灌枣树水钾耦合协同调控与提质增效机理研究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荒漠区沙丘堆积下多枝柽柳水分利用的生理生态机制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新疆师范大学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青藏高原北部西昆仑地区新生代火山活动与干热岩形成关 系研究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新疆维吾尔自治区地质调查院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新型抗冻糖肽的可控制备关键技术及应用研究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新疆农业科学院农业机械化研究所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（二）新上项目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基于基因流的新疆草原迁飞蝗虫谱系地理学及历史迁飞规律研究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新疆师范大学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西甜瓜生物育种体系的建立与雄性不育优异新种质创制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新疆农业科学院哈密瓜研究中心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绵羊子宫着床界面免疫细胞的浸润及对围着床期胚胎的响应机制研究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新疆兔属物种多样性和遗传多样性产生机制及演化历程</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HLA-DRA促进小胶质细胞活性参与NMOSD发病机制研究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新疆医科大学第二附属医院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新疆“库车小白杏”苦杏仁苷积累与其贮藏差异机制的研究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新疆农业科学院农产品贮藏加工研究所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BCL6介导WNT信号通路调控滋养细胞合胞化在不明原因复发性流产中的机制研究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间充质干细胞调节小胶质细胞自噬对急性缺血再灌注损伤的机制研究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氨氢一体化电池系统关键技术研发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新疆师范大学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铁基材料的制备及其渣油悬浮床加氢裂化性能研究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新疆农业大学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低维煤基硬碳微结构调控与储钠机制研究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PEO-PPO-PEO水凝胶负载rAAV介导SOX9调控巨噬细胞活化促进椎间盘修复与再生的作用机制研究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颅内动脉瘤的全表型特征关联研究及基于AI的临床精准诊疗模型开发</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新疆医科大学第一附属医院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钙钛矿型稀土铬酸盐基热敏陶瓷研究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锂捕获诱导硅负极容量衰退的机制研究及抑制方法</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废弃生物质衍生功能化碳基材料对高盐工业废水深度处理研究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哈密富油煤温和直接液化过程中芳烃的形成机理研究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离子液体用于煤焦油中酚类化合物的分离及热力学特性研究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高硅低铁硫化锌精矿冶炼技术研究</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新疆紫金有色金属有限公司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仿宋_GBK" w:hAnsi="方正仿宋_GBK" w:eastAsia="方正仿宋_GBK" w:cs="方正仿宋_GBK"/>
          <w:sz w:val="32"/>
          <w:szCs w:val="32"/>
          <w:highlight w:val="none"/>
        </w:rPr>
      </w:pPr>
    </w:p>
    <w:p>
      <w:pPr>
        <w:pStyle w:val="8"/>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二</w:t>
      </w:r>
      <w:r>
        <w:rPr>
          <w:rFonts w:hint="eastAsia" w:ascii="方正黑体_GBK" w:hAnsi="方正黑体_GBK" w:eastAsia="方正黑体_GBK" w:cs="方正黑体_GBK"/>
          <w:sz w:val="32"/>
          <w:szCs w:val="32"/>
          <w:highlight w:val="none"/>
        </w:rPr>
        <w:t>、组织实施情况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（一） 主管部门职责分工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引导资金由新疆财政厅和科技厅协同管理，具体职责分工如下：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新疆财政厅主要负责引导资金管理制度的制定，总的预算编制、拨付，绩效管理等。具体包括：会同科技厅制定引导资金相关管理政策，确定引导资金支持方向；根据中央财政下达的年度预算，配合科技厅制定年度引导资金实施方案，审核下达资金；会同新疆科技厅对引导资金使用情况开展监督检查，并实施全过程绩效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新疆科技厅会同财政厅合理分配预算、推动开展项目储备，负责引导资金的日常监管、评估和绩效管理。具体包括：配合财政厅制定引导资金相关管理政策，确定引导资金支持方向；组织项目论证评审、立项，编制资金分配方案和绩效目标；与项目承担单位签订项目任务书；组织项目过程管理、绩效评价、监督检查和验收等工作；对项目承担单位开展信用评价管理等工作，落实科研诚信管理和联合惩戒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（二）资金管理情况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1.引导资金配套管理办法或实施细则制定及执行情况。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目前，新疆财政厅、科技厅未出台引导资金管理办法，现引导资金项目的立项、管理等工作依据《中央引导地方科技发展资金管理办法》（财教〔2023〕276号）、《新疆维吾尔自治区科技计划项目管理办法》（新科规〔2024〕2号）开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2.引导资金分配的原则及考虑因素。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（1）聚焦重点，优化资源配置，实现引导的意图。</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一是</w:t>
      </w:r>
      <w:r>
        <w:rPr>
          <w:rFonts w:hint="eastAsia" w:ascii="方正仿宋_GBK" w:hAnsi="方正仿宋_GBK" w:eastAsia="方正仿宋_GBK" w:cs="方正仿宋_GBK"/>
          <w:sz w:val="32"/>
          <w:szCs w:val="32"/>
          <w:highlight w:val="none"/>
          <w:lang w:val="en-US" w:eastAsia="zh-CN"/>
        </w:rPr>
        <w:t>聚焦中央引导地方发展的要求，贯彻落实党中央、国务院以新疆党委、政府关于科技创新的决策部署，围绕新疆优势特色产业和民生改善等重大科技需求，以科技促进产业链创新链深度融合为重点，支持一批引导资金项目，着力解决新疆最紧急、最紧迫的核心技术和“卡脖子”问题。</w:t>
      </w:r>
      <w:r>
        <w:rPr>
          <w:rFonts w:hint="eastAsia" w:ascii="方正仿宋_GBK" w:hAnsi="方正仿宋_GBK" w:eastAsia="方正仿宋_GBK" w:cs="方正仿宋_GBK"/>
          <w:b/>
          <w:bCs/>
          <w:sz w:val="32"/>
          <w:szCs w:val="32"/>
          <w:highlight w:val="none"/>
          <w:lang w:val="en-US" w:eastAsia="zh-CN"/>
        </w:rPr>
        <w:t>二是</w:t>
      </w:r>
      <w:r>
        <w:rPr>
          <w:rFonts w:hint="eastAsia" w:ascii="方正仿宋_GBK" w:hAnsi="方正仿宋_GBK" w:eastAsia="方正仿宋_GBK" w:cs="方正仿宋_GBK"/>
          <w:sz w:val="32"/>
          <w:szCs w:val="32"/>
          <w:highlight w:val="none"/>
          <w:lang w:val="en-US" w:eastAsia="zh-CN"/>
        </w:rPr>
        <w:t>聚焦引导资金使用范围。对标引导资金使用的四个方向，以优化科技创新环境，改善科研基础条件，促进科技成果转移转化，加强新疆基础研究能力为目标，安排部署一批引导资金项目。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（2）细化管理，坚持统筹兼顾，结果导向的原则，保障引导的效果。</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一是</w:t>
      </w:r>
      <w:r>
        <w:rPr>
          <w:rFonts w:hint="eastAsia" w:ascii="方正仿宋_GBK" w:hAnsi="方正仿宋_GBK" w:eastAsia="方正仿宋_GBK" w:cs="方正仿宋_GBK"/>
          <w:sz w:val="32"/>
          <w:szCs w:val="32"/>
          <w:highlight w:val="none"/>
          <w:lang w:val="en-US" w:eastAsia="zh-CN"/>
        </w:rPr>
        <w:t>规范流程。印发了组织申报通知、制定了遴选方案，规范申报和绩效管理程序，明确遴选标准和流程，并按照《新疆维吾尔自治区科技计划项目管理办法》规定，建立申报、受理、评审、立项、合同、验收、绩效全链条规范化管理。</w:t>
      </w:r>
      <w:r>
        <w:rPr>
          <w:rFonts w:hint="eastAsia" w:ascii="方正仿宋_GBK" w:hAnsi="方正仿宋_GBK" w:eastAsia="方正仿宋_GBK" w:cs="方正仿宋_GBK"/>
          <w:b/>
          <w:bCs/>
          <w:sz w:val="32"/>
          <w:szCs w:val="32"/>
          <w:highlight w:val="none"/>
          <w:lang w:val="en-US" w:eastAsia="zh-CN"/>
        </w:rPr>
        <w:t>二是</w:t>
      </w:r>
      <w:r>
        <w:rPr>
          <w:rFonts w:hint="eastAsia" w:ascii="方正仿宋_GBK" w:hAnsi="方正仿宋_GBK" w:eastAsia="方正仿宋_GBK" w:cs="方正仿宋_GBK"/>
          <w:sz w:val="32"/>
          <w:szCs w:val="32"/>
          <w:highlight w:val="none"/>
          <w:lang w:val="en-US" w:eastAsia="zh-CN"/>
        </w:rPr>
        <w:t>完善机制。建立科技和财政部门协同联动的工作机制，结合年度重点任务目标，编制引导资金实施方案，对项目实行入库管理。</w:t>
      </w:r>
      <w:r>
        <w:rPr>
          <w:rFonts w:hint="eastAsia" w:ascii="方正仿宋_GBK" w:hAnsi="方正仿宋_GBK" w:eastAsia="方正仿宋_GBK" w:cs="方正仿宋_GBK"/>
          <w:b/>
          <w:bCs/>
          <w:sz w:val="32"/>
          <w:szCs w:val="32"/>
          <w:highlight w:val="none"/>
          <w:lang w:val="en-US" w:eastAsia="zh-CN"/>
        </w:rPr>
        <w:t>三是</w:t>
      </w:r>
      <w:r>
        <w:rPr>
          <w:rFonts w:hint="eastAsia" w:ascii="方正仿宋_GBK" w:hAnsi="方正仿宋_GBK" w:eastAsia="方正仿宋_GBK" w:cs="方正仿宋_GBK"/>
          <w:sz w:val="32"/>
          <w:szCs w:val="32"/>
          <w:highlight w:val="none"/>
          <w:lang w:val="en-US" w:eastAsia="zh-CN"/>
        </w:rPr>
        <w:t>合理调配。加强地方科技发展和政策性引导作用，要求企业实施的项目自筹研发投入和引导资金比必须大于2：1，发挥了引导资金的带动作用。</w:t>
      </w:r>
      <w:r>
        <w:rPr>
          <w:rFonts w:hint="eastAsia" w:ascii="方正仿宋_GBK" w:hAnsi="方正仿宋_GBK" w:eastAsia="方正仿宋_GBK" w:cs="方正仿宋_GBK"/>
          <w:b/>
          <w:bCs/>
          <w:sz w:val="32"/>
          <w:szCs w:val="32"/>
          <w:highlight w:val="none"/>
          <w:lang w:val="en-US" w:eastAsia="zh-CN"/>
        </w:rPr>
        <w:t>四是</w:t>
      </w:r>
      <w:r>
        <w:rPr>
          <w:rFonts w:hint="eastAsia" w:ascii="方正仿宋_GBK" w:hAnsi="方正仿宋_GBK" w:eastAsia="方正仿宋_GBK" w:cs="方正仿宋_GBK"/>
          <w:sz w:val="32"/>
          <w:szCs w:val="32"/>
          <w:highlight w:val="none"/>
          <w:lang w:val="en-US" w:eastAsia="zh-CN"/>
        </w:rPr>
        <w:t>强化问效。加强绩效评价工作管理，健全评价方式方法、优化评价指标体系，将日常监管和绩效评价有机结合，提高专项资金使用绩效。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（3）坚持公开、公平、公正的原则，主动接受社会监督。</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一是</w:t>
      </w:r>
      <w:r>
        <w:rPr>
          <w:rFonts w:hint="eastAsia" w:ascii="方正仿宋_GBK" w:hAnsi="方正仿宋_GBK" w:eastAsia="方正仿宋_GBK" w:cs="方正仿宋_GBK"/>
          <w:sz w:val="32"/>
          <w:szCs w:val="32"/>
          <w:highlight w:val="none"/>
          <w:lang w:val="en-US" w:eastAsia="zh-CN"/>
        </w:rPr>
        <w:t>公开向社会发布申报通知，做到广泛征集、统一部署，项目立项严格按照指南发布、申报、受理、查重和形式审查、初评、科技计划管理委员会审议、实施方案论证、党组会审定等立项环节，保证了引导资金项目立项工作的公平性、严肃性、科学性。</w:t>
      </w:r>
      <w:r>
        <w:rPr>
          <w:rFonts w:hint="eastAsia" w:ascii="方正仿宋_GBK" w:hAnsi="方正仿宋_GBK" w:eastAsia="方正仿宋_GBK" w:cs="方正仿宋_GBK"/>
          <w:b/>
          <w:bCs/>
          <w:sz w:val="32"/>
          <w:szCs w:val="32"/>
          <w:highlight w:val="none"/>
          <w:lang w:val="en-US" w:eastAsia="zh-CN"/>
        </w:rPr>
        <w:t>二是</w:t>
      </w:r>
      <w:r>
        <w:rPr>
          <w:rFonts w:hint="eastAsia" w:ascii="方正仿宋_GBK" w:hAnsi="方正仿宋_GBK" w:eastAsia="方正仿宋_GBK" w:cs="方正仿宋_GBK"/>
          <w:sz w:val="32"/>
          <w:szCs w:val="32"/>
          <w:highlight w:val="none"/>
          <w:lang w:val="en-US" w:eastAsia="zh-CN"/>
        </w:rPr>
        <w:t>按照《中央引导地方科技发展资金管理办法》，对拟分配到企业的引导资金，通过科技厅门户网站向社会公示，确保公示期不少于7日。</w:t>
      </w:r>
      <w:r>
        <w:rPr>
          <w:rFonts w:hint="eastAsia" w:ascii="方正仿宋_GBK" w:hAnsi="方正仿宋_GBK" w:eastAsia="方正仿宋_GBK" w:cs="方正仿宋_GBK"/>
          <w:b/>
          <w:bCs/>
          <w:sz w:val="32"/>
          <w:szCs w:val="32"/>
          <w:highlight w:val="none"/>
          <w:lang w:val="en-US" w:eastAsia="zh-CN"/>
        </w:rPr>
        <w:t>三是</w:t>
      </w:r>
      <w:r>
        <w:rPr>
          <w:rFonts w:hint="eastAsia" w:ascii="方正仿宋_GBK" w:hAnsi="方正仿宋_GBK" w:eastAsia="方正仿宋_GBK" w:cs="方正仿宋_GBK"/>
          <w:sz w:val="32"/>
          <w:szCs w:val="32"/>
          <w:highlight w:val="none"/>
          <w:lang w:val="en-US" w:eastAsia="zh-CN"/>
        </w:rPr>
        <w:t>中央引导地方科技发展资金评价结果及时在新疆科技厅和新疆财政厅门户网站进行公示公开，广泛接受社会监督。</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3.对照引导资金绩效目标开展绩效运行监控、绩效评价情况。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（1）绩效运行监控管理情况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一是</w:t>
      </w:r>
      <w:r>
        <w:rPr>
          <w:rFonts w:hint="eastAsia" w:ascii="方正仿宋_GBK" w:hAnsi="方正仿宋_GBK" w:eastAsia="方正仿宋_GBK" w:cs="方正仿宋_GBK"/>
          <w:sz w:val="32"/>
          <w:szCs w:val="32"/>
          <w:highlight w:val="none"/>
          <w:lang w:val="en-US" w:eastAsia="zh-CN"/>
        </w:rPr>
        <w:t>牢固树立“花钱必问效、无效必问责”的理念，建立“事前有评估、事中有监控、事后有评价”的全过程绩效评价体系，将绩效工作嵌入到项目立项、实施、验收各环节，实现全流程管理。</w:t>
      </w:r>
      <w:r>
        <w:rPr>
          <w:rFonts w:hint="eastAsia" w:ascii="方正仿宋_GBK" w:hAnsi="方正仿宋_GBK" w:eastAsia="方正仿宋_GBK" w:cs="方正仿宋_GBK"/>
          <w:b/>
          <w:bCs/>
          <w:sz w:val="32"/>
          <w:szCs w:val="32"/>
          <w:highlight w:val="none"/>
          <w:lang w:val="en-US" w:eastAsia="zh-CN"/>
        </w:rPr>
        <w:t>二是</w:t>
      </w:r>
      <w:r>
        <w:rPr>
          <w:rFonts w:hint="eastAsia" w:ascii="方正仿宋_GBK" w:hAnsi="方正仿宋_GBK" w:eastAsia="方正仿宋_GBK" w:cs="方正仿宋_GBK"/>
          <w:sz w:val="32"/>
          <w:szCs w:val="32"/>
          <w:highlight w:val="none"/>
          <w:lang w:val="en-US" w:eastAsia="zh-CN"/>
        </w:rPr>
        <w:t>要求项目承担单位切实加强绩效管理，按照财政部 科技部下达的《中央引导地方科技发展资金整体绩效目标表》科学、合理的设置项目绩效目标表。</w:t>
      </w:r>
      <w:r>
        <w:rPr>
          <w:rFonts w:hint="eastAsia" w:ascii="方正仿宋_GBK" w:hAnsi="方正仿宋_GBK" w:eastAsia="方正仿宋_GBK" w:cs="方正仿宋_GBK"/>
          <w:b/>
          <w:bCs/>
          <w:sz w:val="32"/>
          <w:szCs w:val="32"/>
          <w:highlight w:val="none"/>
          <w:lang w:val="en-US" w:eastAsia="zh-CN"/>
        </w:rPr>
        <w:t>三是</w:t>
      </w:r>
      <w:r>
        <w:rPr>
          <w:rFonts w:hint="eastAsia" w:ascii="方正仿宋_GBK" w:hAnsi="方正仿宋_GBK" w:eastAsia="方正仿宋_GBK" w:cs="方正仿宋_GBK"/>
          <w:sz w:val="32"/>
          <w:szCs w:val="32"/>
          <w:highlight w:val="none"/>
          <w:lang w:val="en-US" w:eastAsia="zh-CN"/>
        </w:rPr>
        <w:t>科技厅对照《2024年度中央引导地方科技发展专项资金实施方案》和各项目《中央对地方专项转移支付区域（项目）绩效目标表》，在项目承担单位进行自评的基础上，会同项目主管部门对项目实施成效开展综合评议，形成《新疆中央引导地方科技发展资金项目绩效自评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（2）绩效评价情况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经综合评议，2024年度新疆实施的136项（含后补助项目24项）引导资金项目，121项评价结果为“优”，15项项目评价结果为“良”。具体情况如下：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项区域创新体系建设项目为“优”，“石化产业导向型科技企业孵化器服务平台建设”“阿拉山口数字口岸业务协同及安全保障技术研发及应用”等2项评价为“良”；44项科技创新基地建设项目为“优”，“新疆智慧牧草良种繁育创新基地建设”“新疆食用菌智能云方仓工厂化技术创新基地建设”“新疆林果栽培与加工技术平台建设”“棉花功能基因鉴定与基因编辑育种平台建设”“基于碱金属及温度场在线测量的准东煤高效燃烧及清洁利用技术研究”等5项评价为“良”；38项科技成果转移转化项目为“优”，“沙漠小麦水肥一体化精准控制关键技术应用推广”“沙棘果渣和叶中降血脂物质提取技术开发及集成应用”“新疆特色木本油料品质评价与加工利用研究”“鲜食玉米新品种引进及节能清洁加工技术集成示范”“智能种草箱与新鲜营养可调整型饲草供应重大装备研发及产业化示范”“中药1.1类创新药“复方内鲁帕尔抗病毒颗粒”临床前研究”“低热值焦炉煤气高效清洁发电技术及产业化”等7项评价为“良”；31项自由探索类基础研究项目评价结果为“优”，“高硅低铁硫化锌精矿冶炼技术研究”1项评价为“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（三）项目管理情况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1.支持重点。新疆坚持“四个面向”战略导向，积极对接全国科技发展规划，立足科技强区、人才强区、创新驱动发展战略，紧紧围绕落实国家科技创新部署重点任务，聚焦新疆“十大产业集群”、生态环境保护、生命健康等重点领域，以科技促进产业链创新链深度融合为重点，加快最紧急、最紧迫的核心技术攻关，支持各重点产业领域延伸研发链条，聚焦探索未知的科学问题，组织实施具有前瞻性、先导性、引领性，能为解决行业领域和产业发展的关键核心技术问题提供理论支撑、破解关键科学原理、机理机制的重大应用基础研究项目；支持国家和自治区级科技创新平台，依托技术人才优势，聚焦新疆重点行业领域和产业发展方向，通过产学研深度融合，开展关键共性技术、现代工程技术等重大科研攻关；支持生物种业、新能源、新材料、石油天然气等产业领域实施的科技成果转化示范项目，支持援疆省市新技术、新成果在新疆转化应用和产业化发展；支持国家自贸区、高新技术产业开发区、农业科技园区，国家创新型县市等的创新主体，以及科技企业孵化器、众创空间、星创天地，为提升区域科技创新能力开展的科技研发活动和技术创新公共服务平台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2.支持方式。对科研院所、高校承担的科技项目，以引导资金直接补助为主，对企业承担的科技项目，以引导资金后补助为主。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3.项目申报及立项情况。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2024年，新疆科技厅共组织了一轮项目申报，共计受理项目624个，最终新立项88个，其中，直接补助64项，后补助项目24个。具体情况如下：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2024年4月，新疆科技厅公开发布《关于申报2024年中央引导地方科技发展专项资金项目的通知》，共计受理项目624个。科技厅按照《新疆维吾尔自治区科技计划项目管理办法》规定，对征集到的项目进行了查重和形式审查，组织专家（技术专家5名、财务专家1名）对项目分组进行评审论证，最终确定88个新立项项目和48个结转项目列入分配方案，24个企业承担的项目采取后补助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三、</w:t>
      </w:r>
      <w:r>
        <w:rPr>
          <w:rFonts w:hint="eastAsia" w:ascii="方正黑体_GBK" w:hAnsi="方正黑体_GBK" w:eastAsia="方正黑体_GBK" w:cs="方正黑体_GBK"/>
          <w:sz w:val="32"/>
          <w:szCs w:val="32"/>
          <w:highlight w:val="none"/>
        </w:rPr>
        <w:t>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 w:hAnsi="仿宋" w:eastAsia="仿宋" w:cs="仿宋"/>
          <w:sz w:val="32"/>
          <w:szCs w:val="32"/>
          <w:highlight w:val="none"/>
          <w:lang w:eastAsia="zh-CN"/>
        </w:rPr>
      </w:pPr>
      <w:r>
        <w:rPr>
          <w:rFonts w:hint="eastAsia" w:ascii="楷体" w:hAnsi="楷体" w:eastAsia="楷体" w:cs="楷体"/>
          <w:b/>
          <w:bCs/>
          <w:sz w:val="32"/>
          <w:szCs w:val="32"/>
          <w:highlight w:val="none"/>
          <w:lang w:eastAsia="zh-CN"/>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1.资金到位情况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2024年度新疆《中央引导地方科技发展专项资金》共下达专项资金11087万元，实际拨付到位11087万元，资金拨付及时率100%，中央财政资金带动地方投入预期29218.65万元。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2.资金执行情况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2024年度新疆《中央引导地方科技发展专项资金》共下达专项资金11087万元，实际拨付到位11087万元，截至2024年12月实际支出8314.25万元，预算执行率75%。地方资金实际投入29218.65万元，中央财政资金实际带动地方投入资金比例为1：2.64。</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 w:hAnsi="仿宋" w:eastAsia="仿宋" w:cs="仿宋"/>
          <w:sz w:val="32"/>
          <w:szCs w:val="32"/>
          <w:highlight w:val="none"/>
          <w:lang w:eastAsia="zh-CN"/>
        </w:rPr>
      </w:pPr>
      <w:r>
        <w:rPr>
          <w:rFonts w:hint="eastAsia" w:ascii="楷体" w:hAnsi="楷体" w:eastAsia="楷体" w:cs="楷体"/>
          <w:b/>
          <w:bCs/>
          <w:sz w:val="32"/>
          <w:szCs w:val="32"/>
          <w:highlight w:val="none"/>
          <w:lang w:eastAsia="zh-CN"/>
        </w:rPr>
        <w:t>（二）总体绩效目标完成情况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仿宋" w:hAnsi="仿宋" w:eastAsia="仿宋" w:cs="仿宋"/>
          <w:sz w:val="32"/>
          <w:szCs w:val="32"/>
          <w:highlight w:val="none"/>
          <w:lang w:eastAsia="zh-CN"/>
        </w:rPr>
      </w:pPr>
      <w:r>
        <w:rPr>
          <w:rFonts w:hint="eastAsia" w:ascii="方正仿宋_GBK" w:hAnsi="方正仿宋_GBK" w:eastAsia="方正仿宋_GBK" w:cs="方正仿宋_GBK"/>
          <w:b w:val="0"/>
          <w:bCs w:val="0"/>
          <w:color w:val="auto"/>
          <w:kern w:val="2"/>
          <w:sz w:val="32"/>
          <w:szCs w:val="32"/>
          <w:highlight w:val="none"/>
          <w:lang w:eastAsia="zh-CN" w:bidi="ar-SA"/>
        </w:rPr>
        <w:t>2024年度，新疆紧跟中央科技发展规划部署，落实国家创新驱动发展战略和科技改革发展政策，结合新疆科技工作实际，围绕“十大产业集群”及水资源高效利用、生物医药、生态环保、社会治理等重大科技需求，以科技促进产业链创新链深度融合为重点，加快关键核心技术攻关，支持区域科技创新体系建设、科技创新基地建设、科技成果转移转化、自由探索类基础研究等四个方面的项目。目前，202</w:t>
      </w:r>
      <w:r>
        <w:rPr>
          <w:rFonts w:hint="eastAsia" w:ascii="方正仿宋_GBK" w:hAnsi="方正仿宋_GBK" w:eastAsia="方正仿宋_GBK" w:cs="方正仿宋_GBK"/>
          <w:b w:val="0"/>
          <w:bCs w:val="0"/>
          <w:color w:val="auto"/>
          <w:kern w:val="2"/>
          <w:sz w:val="32"/>
          <w:szCs w:val="32"/>
          <w:highlight w:val="none"/>
          <w:lang w:val="en-US" w:eastAsia="zh-CN" w:bidi="ar-SA"/>
        </w:rPr>
        <w:t>4</w:t>
      </w:r>
      <w:r>
        <w:rPr>
          <w:rFonts w:hint="eastAsia" w:ascii="方正仿宋_GBK" w:hAnsi="方正仿宋_GBK" w:eastAsia="方正仿宋_GBK" w:cs="方正仿宋_GBK"/>
          <w:b w:val="0"/>
          <w:bCs w:val="0"/>
          <w:color w:val="auto"/>
          <w:kern w:val="2"/>
          <w:sz w:val="32"/>
          <w:szCs w:val="32"/>
          <w:highlight w:val="none"/>
          <w:lang w:eastAsia="zh-CN" w:bidi="ar-SA"/>
        </w:rPr>
        <w:t>年度中央引导地方科技发展专项项目均能按照实施方案确定的目标任务、内容、预算安排认真执行，基本完成了实施方案下达时的年度绩效目标。项目总体进展顺利，已取得了较好的经济、社会效益。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2" w:firstLineChars="200"/>
        <w:textAlignment w:val="auto"/>
        <w:rPr>
          <w:rFonts w:hint="eastAsia" w:ascii="方正仿宋_GBK" w:hAnsi="方正仿宋_GBK" w:eastAsia="方正仿宋_GBK" w:cs="方正仿宋_GBK"/>
          <w:b w:val="0"/>
          <w:bCs w:val="0"/>
          <w:color w:val="auto"/>
          <w:kern w:val="2"/>
          <w:sz w:val="32"/>
          <w:szCs w:val="32"/>
          <w:highlight w:val="none"/>
          <w:lang w:eastAsia="zh-CN" w:bidi="ar-SA"/>
        </w:rPr>
      </w:pPr>
      <w:r>
        <w:rPr>
          <w:rFonts w:hint="eastAsia" w:ascii="楷体" w:hAnsi="楷体" w:eastAsia="楷体" w:cs="楷体"/>
          <w:b/>
          <w:bCs/>
          <w:sz w:val="32"/>
          <w:szCs w:val="32"/>
          <w:highlight w:val="none"/>
          <w:lang w:eastAsia="zh-CN"/>
        </w:rPr>
        <w:t>（三）绩效指标完成情况分析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1.产出指标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（1）数量指标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a.新疆向科技部、财政部备案为支持建设科技创新基地项目数量指标，指标值为39个，新疆实际完成值为39个，完成率为100%，偏差率为0%。</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b.新疆向科技部、财政部备案为支持区域创新载体项目数量指标，指标值为5个，新疆实际完成值为5个，完成率为100%，偏差率为0%。</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c.新疆向科技部、财政部备案为支持东西部科技合作及区域协同创新项目数量指标，指标值为6项，新疆实际完成值为11项，完成率为183.33%，偏差率为83.33%。</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d.新疆向科技部、财政部备案为转化科技成果数量指标，指标值为163个，新疆实际完成值为122个，完成率为74.85%，偏差率为25.15%。</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（2）时效指标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a.新疆向科技部、财政部备案为资金拨付及时率指标，指标值为大于90%，新疆实际完成值100%，完成率为111.11%，偏差率为11.11%。</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2.效益指标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（1）经济效益指标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a.新疆向科技部、财政部备案为带动社会投入与引导资金投入比例指标，指标值为大于2，新疆实际完成值为2.64，完成率为132%，偏差率为32%。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b.</w:t>
      </w:r>
      <w:r>
        <w:rPr>
          <w:rFonts w:hint="eastAsia" w:ascii="方正仿宋_GBK" w:hAnsi="方正仿宋_GBK" w:eastAsia="方正仿宋_GBK" w:cs="方正仿宋_GBK"/>
          <w:color w:val="auto"/>
          <w:sz w:val="32"/>
          <w:szCs w:val="32"/>
          <w:highlight w:val="none"/>
        </w:rPr>
        <w:t>新疆向科技部、财政部备案为促进科技投融资金额指标，指标值为</w:t>
      </w:r>
      <w:r>
        <w:rPr>
          <w:rFonts w:hint="eastAsia" w:ascii="方正仿宋_GBK" w:hAnsi="方正仿宋_GBK" w:eastAsia="方正仿宋_GBK" w:cs="方正仿宋_GBK"/>
          <w:color w:val="auto"/>
          <w:sz w:val="32"/>
          <w:szCs w:val="32"/>
          <w:highlight w:val="none"/>
          <w:lang w:val="en-US" w:eastAsia="zh-CN"/>
        </w:rPr>
        <w:t>大于3000万元</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lang w:eastAsia="zh-CN"/>
        </w:rPr>
        <w:t>5567.05</w:t>
      </w:r>
      <w:r>
        <w:rPr>
          <w:rFonts w:hint="eastAsia" w:ascii="方正仿宋_GBK" w:hAnsi="方正仿宋_GBK" w:eastAsia="方正仿宋_GBK" w:cs="方正仿宋_GBK"/>
          <w:color w:val="auto"/>
          <w:sz w:val="32"/>
          <w:szCs w:val="32"/>
          <w:highlight w:val="none"/>
          <w:lang w:eastAsia="zh-CN"/>
        </w:rPr>
        <w:t>万元</w:t>
      </w:r>
      <w:r>
        <w:rPr>
          <w:rFonts w:hint="eastAsia" w:ascii="方正仿宋_GBK" w:hAnsi="方正仿宋_GBK" w:eastAsia="方正仿宋_GBK" w:cs="方正仿宋_GBK"/>
          <w:color w:val="auto"/>
          <w:sz w:val="32"/>
          <w:szCs w:val="32"/>
          <w:highlight w:val="none"/>
        </w:rPr>
        <w:t>，完成率为</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eastAsia="zh-CN"/>
        </w:rPr>
        <w:t>85.57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85.57</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c.</w:t>
      </w:r>
      <w:r>
        <w:rPr>
          <w:rFonts w:hint="eastAsia" w:ascii="方正仿宋_GBK" w:hAnsi="方正仿宋_GBK" w:eastAsia="方正仿宋_GBK" w:cs="方正仿宋_GBK"/>
          <w:color w:val="auto"/>
          <w:sz w:val="32"/>
          <w:szCs w:val="32"/>
          <w:highlight w:val="none"/>
        </w:rPr>
        <w:t>新疆向科技部、财政部备案为支持高新技术企业数量指标，指标值为</w:t>
      </w:r>
      <w:r>
        <w:rPr>
          <w:rFonts w:hint="eastAsia" w:ascii="方正仿宋_GBK" w:hAnsi="方正仿宋_GBK" w:eastAsia="方正仿宋_GBK" w:cs="方正仿宋_GBK"/>
          <w:color w:val="auto"/>
          <w:sz w:val="32"/>
          <w:szCs w:val="32"/>
          <w:highlight w:val="none"/>
          <w:lang w:eastAsia="zh-CN"/>
        </w:rPr>
        <w:t>大于</w:t>
      </w:r>
      <w:r>
        <w:rPr>
          <w:rFonts w:hint="eastAsia" w:ascii="方正仿宋_GBK" w:hAnsi="方正仿宋_GBK" w:eastAsia="方正仿宋_GBK" w:cs="方正仿宋_GBK"/>
          <w:color w:val="auto"/>
          <w:sz w:val="32"/>
          <w:szCs w:val="32"/>
          <w:highlight w:val="none"/>
          <w:lang w:val="en-US" w:eastAsia="zh-CN"/>
        </w:rPr>
        <w:t>23家</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rPr>
        <w:t>45</w:t>
      </w:r>
      <w:r>
        <w:rPr>
          <w:rFonts w:hint="eastAsia" w:ascii="方正仿宋_GBK" w:hAnsi="方正仿宋_GBK" w:eastAsia="方正仿宋_GBK" w:cs="方正仿宋_GBK"/>
          <w:color w:val="auto"/>
          <w:sz w:val="32"/>
          <w:szCs w:val="32"/>
          <w:highlight w:val="none"/>
          <w:lang w:eastAsia="zh-CN"/>
        </w:rPr>
        <w:t>家</w:t>
      </w:r>
      <w:r>
        <w:rPr>
          <w:rFonts w:hint="eastAsia" w:ascii="方正仿宋_GBK" w:hAnsi="方正仿宋_GBK" w:eastAsia="方正仿宋_GBK" w:cs="方正仿宋_GBK"/>
          <w:color w:val="auto"/>
          <w:sz w:val="32"/>
          <w:szCs w:val="32"/>
          <w:highlight w:val="none"/>
        </w:rPr>
        <w:t>，完成率为</w:t>
      </w: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95.65</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95.65</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d.</w:t>
      </w:r>
      <w:r>
        <w:rPr>
          <w:rFonts w:hint="eastAsia" w:ascii="方正仿宋_GBK" w:hAnsi="方正仿宋_GBK" w:eastAsia="方正仿宋_GBK" w:cs="方正仿宋_GBK"/>
          <w:color w:val="auto"/>
          <w:sz w:val="32"/>
          <w:szCs w:val="32"/>
          <w:highlight w:val="none"/>
        </w:rPr>
        <w:t>新疆向科技部、财政部备案为支持科技型中小企业数量指标，指标值为</w:t>
      </w:r>
      <w:r>
        <w:rPr>
          <w:rFonts w:hint="eastAsia" w:ascii="方正仿宋_GBK" w:hAnsi="方正仿宋_GBK" w:eastAsia="方正仿宋_GBK" w:cs="方正仿宋_GBK"/>
          <w:color w:val="auto"/>
          <w:sz w:val="32"/>
          <w:szCs w:val="32"/>
          <w:highlight w:val="none"/>
          <w:lang w:eastAsia="zh-CN"/>
        </w:rPr>
        <w:t>大于</w:t>
      </w:r>
      <w:r>
        <w:rPr>
          <w:rFonts w:hint="eastAsia" w:ascii="方正仿宋_GBK" w:hAnsi="方正仿宋_GBK" w:eastAsia="方正仿宋_GBK" w:cs="方正仿宋_GBK"/>
          <w:color w:val="auto"/>
          <w:sz w:val="32"/>
          <w:szCs w:val="32"/>
          <w:highlight w:val="none"/>
          <w:lang w:val="en-US" w:eastAsia="zh-CN"/>
        </w:rPr>
        <w:t>30家</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lang w:eastAsia="zh-CN"/>
        </w:rPr>
        <w:t>119</w:t>
      </w:r>
      <w:r>
        <w:rPr>
          <w:rFonts w:hint="eastAsia" w:ascii="方正仿宋_GBK" w:hAnsi="方正仿宋_GBK" w:eastAsia="方正仿宋_GBK" w:cs="方正仿宋_GBK"/>
          <w:color w:val="auto"/>
          <w:sz w:val="32"/>
          <w:szCs w:val="32"/>
          <w:highlight w:val="none"/>
          <w:lang w:val="en-US" w:eastAsia="zh-CN"/>
        </w:rPr>
        <w:t>家</w:t>
      </w:r>
      <w:r>
        <w:rPr>
          <w:rFonts w:hint="eastAsia" w:ascii="方正仿宋_GBK" w:hAnsi="方正仿宋_GBK" w:eastAsia="方正仿宋_GBK" w:cs="方正仿宋_GBK"/>
          <w:color w:val="auto"/>
          <w:sz w:val="32"/>
          <w:szCs w:val="32"/>
          <w:highlight w:val="none"/>
        </w:rPr>
        <w:t>，完成率为</w:t>
      </w:r>
      <w:r>
        <w:rPr>
          <w:rFonts w:hint="default" w:ascii="方正仿宋_GBK" w:hAnsi="方正仿宋_GBK" w:eastAsia="方正仿宋_GBK" w:cs="方正仿宋_GBK"/>
          <w:color w:val="auto"/>
          <w:sz w:val="32"/>
          <w:szCs w:val="32"/>
          <w:highlight w:val="none"/>
          <w:lang w:eastAsia="zh-CN"/>
        </w:rPr>
        <w:t>396.67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rPr>
        <w:t>29</w:t>
      </w:r>
      <w:r>
        <w:rPr>
          <w:rFonts w:hint="eastAsia" w:ascii="方正仿宋_GBK" w:hAnsi="方正仿宋_GBK" w:eastAsia="方正仿宋_GBK" w:cs="方正仿宋_GBK"/>
          <w:color w:val="auto"/>
          <w:sz w:val="32"/>
          <w:szCs w:val="32"/>
          <w:highlight w:val="none"/>
          <w:lang w:val="en-US" w:eastAsia="zh-CN"/>
        </w:rPr>
        <w:t>6.67</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e.</w:t>
      </w:r>
      <w:r>
        <w:rPr>
          <w:rFonts w:hint="eastAsia" w:ascii="方正仿宋_GBK" w:hAnsi="方正仿宋_GBK" w:eastAsia="方正仿宋_GBK" w:cs="方正仿宋_GBK"/>
          <w:color w:val="auto"/>
          <w:sz w:val="32"/>
          <w:szCs w:val="32"/>
          <w:highlight w:val="none"/>
        </w:rPr>
        <w:t>新疆向科技部、财政部备案为促进技术合同成交额指标，指标值为</w:t>
      </w:r>
      <w:r>
        <w:rPr>
          <w:rFonts w:hint="eastAsia" w:ascii="方正仿宋_GBK" w:hAnsi="方正仿宋_GBK" w:eastAsia="方正仿宋_GBK" w:cs="方正仿宋_GBK"/>
          <w:color w:val="auto"/>
          <w:sz w:val="32"/>
          <w:szCs w:val="32"/>
          <w:highlight w:val="none"/>
          <w:lang w:val="en-US" w:eastAsia="zh-CN"/>
        </w:rPr>
        <w:t>大于3143</w:t>
      </w:r>
      <w:r>
        <w:rPr>
          <w:rFonts w:hint="eastAsia" w:ascii="方正仿宋_GBK" w:hAnsi="方正仿宋_GBK" w:eastAsia="方正仿宋_GBK" w:cs="方正仿宋_GBK"/>
          <w:color w:val="auto"/>
          <w:sz w:val="32"/>
          <w:szCs w:val="32"/>
          <w:highlight w:val="none"/>
        </w:rPr>
        <w:t>万元，新疆实际完成值为</w:t>
      </w:r>
      <w:r>
        <w:rPr>
          <w:rFonts w:hint="default" w:ascii="方正仿宋_GBK" w:hAnsi="方正仿宋_GBK" w:eastAsia="方正仿宋_GBK" w:cs="方正仿宋_GBK"/>
          <w:color w:val="auto"/>
          <w:sz w:val="32"/>
          <w:szCs w:val="32"/>
          <w:highlight w:val="none"/>
          <w:lang w:eastAsia="zh-CN"/>
        </w:rPr>
        <w:t>8868.04</w:t>
      </w:r>
      <w:r>
        <w:rPr>
          <w:rFonts w:hint="eastAsia" w:ascii="方正仿宋_GBK" w:hAnsi="方正仿宋_GBK" w:eastAsia="方正仿宋_GBK" w:cs="方正仿宋_GBK"/>
          <w:color w:val="auto"/>
          <w:sz w:val="32"/>
          <w:szCs w:val="32"/>
          <w:highlight w:val="none"/>
        </w:rPr>
        <w:t>万元，完成率为</w:t>
      </w:r>
      <w:r>
        <w:rPr>
          <w:rFonts w:hint="default" w:ascii="方正仿宋_GBK" w:hAnsi="方正仿宋_GBK" w:eastAsia="方正仿宋_GBK" w:cs="方正仿宋_GBK"/>
          <w:color w:val="auto"/>
          <w:sz w:val="32"/>
          <w:szCs w:val="32"/>
          <w:highlight w:val="none"/>
          <w:lang w:eastAsia="zh-CN"/>
        </w:rPr>
        <w:t>282.15</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182.15</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f.</w:t>
      </w:r>
      <w:r>
        <w:rPr>
          <w:rFonts w:hint="eastAsia" w:ascii="方正仿宋_GBK" w:hAnsi="方正仿宋_GBK" w:eastAsia="方正仿宋_GBK" w:cs="方正仿宋_GBK"/>
          <w:color w:val="auto"/>
          <w:sz w:val="32"/>
          <w:szCs w:val="32"/>
          <w:highlight w:val="none"/>
        </w:rPr>
        <w:t>新疆向科技部、财政部备案为</w:t>
      </w:r>
      <w:r>
        <w:rPr>
          <w:rFonts w:hint="eastAsia" w:ascii="方正仿宋_GBK" w:hAnsi="方正仿宋_GBK" w:eastAsia="方正仿宋_GBK" w:cs="方正仿宋_GBK"/>
          <w:color w:val="auto"/>
          <w:sz w:val="32"/>
          <w:szCs w:val="32"/>
          <w:highlight w:val="none"/>
          <w:lang w:eastAsia="zh-CN"/>
        </w:rPr>
        <w:t>带动地方投入东西科技合作及区域协同创新资金</w:t>
      </w:r>
      <w:r>
        <w:rPr>
          <w:rFonts w:hint="eastAsia" w:ascii="方正仿宋_GBK" w:hAnsi="方正仿宋_GBK" w:eastAsia="方正仿宋_GBK" w:cs="方正仿宋_GBK"/>
          <w:color w:val="auto"/>
          <w:sz w:val="32"/>
          <w:szCs w:val="32"/>
          <w:highlight w:val="none"/>
        </w:rPr>
        <w:t>指标，指标值为</w:t>
      </w:r>
      <w:r>
        <w:rPr>
          <w:rFonts w:hint="eastAsia" w:ascii="方正仿宋_GBK" w:hAnsi="方正仿宋_GBK" w:eastAsia="方正仿宋_GBK" w:cs="方正仿宋_GBK"/>
          <w:color w:val="auto"/>
          <w:sz w:val="32"/>
          <w:szCs w:val="32"/>
          <w:highlight w:val="none"/>
          <w:lang w:val="en-US" w:eastAsia="zh-CN"/>
        </w:rPr>
        <w:t>大于1419</w:t>
      </w:r>
      <w:r>
        <w:rPr>
          <w:rFonts w:hint="eastAsia" w:ascii="方正仿宋_GBK" w:hAnsi="方正仿宋_GBK" w:eastAsia="方正仿宋_GBK" w:cs="方正仿宋_GBK"/>
          <w:color w:val="auto"/>
          <w:sz w:val="32"/>
          <w:szCs w:val="32"/>
          <w:highlight w:val="none"/>
        </w:rPr>
        <w:t>万元，新疆实际完成值为</w:t>
      </w:r>
      <w:r>
        <w:rPr>
          <w:rFonts w:hint="default" w:ascii="方正仿宋_GBK" w:hAnsi="方正仿宋_GBK" w:eastAsia="方正仿宋_GBK" w:cs="方正仿宋_GBK"/>
          <w:color w:val="auto"/>
          <w:sz w:val="32"/>
          <w:szCs w:val="32"/>
          <w:highlight w:val="none"/>
          <w:lang w:eastAsia="zh-CN"/>
        </w:rPr>
        <w:t>2172</w:t>
      </w:r>
      <w:r>
        <w:rPr>
          <w:rFonts w:hint="eastAsia" w:ascii="方正仿宋_GBK" w:hAnsi="方正仿宋_GBK" w:eastAsia="方正仿宋_GBK" w:cs="方正仿宋_GBK"/>
          <w:color w:val="auto"/>
          <w:sz w:val="32"/>
          <w:szCs w:val="32"/>
          <w:highlight w:val="none"/>
        </w:rPr>
        <w:t>万元，完成率为</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eastAsia="zh-CN"/>
        </w:rPr>
        <w:t>53.07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53.07</w:t>
      </w:r>
      <w:r>
        <w:rPr>
          <w:rFonts w:hint="eastAsia" w:ascii="方正仿宋_GBK" w:hAnsi="方正仿宋_GBK" w:eastAsia="方正仿宋_GBK" w:cs="方正仿宋_GBK"/>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（2）社会效益指标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a.</w:t>
      </w:r>
      <w:r>
        <w:rPr>
          <w:rFonts w:hint="eastAsia" w:ascii="方正仿宋_GBK" w:hAnsi="方正仿宋_GBK" w:eastAsia="方正仿宋_GBK" w:cs="方正仿宋_GBK"/>
          <w:color w:val="auto"/>
          <w:sz w:val="32"/>
          <w:szCs w:val="32"/>
          <w:highlight w:val="none"/>
        </w:rPr>
        <w:t>新疆向科技部、财政部备案为区域科技创新能力指标，指标值为稳步提升，新疆实际完成值为稳步提升，完成率为100%，偏差率为0%。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b.</w:t>
      </w:r>
      <w:r>
        <w:rPr>
          <w:rFonts w:hint="eastAsia" w:ascii="方正仿宋_GBK" w:hAnsi="方正仿宋_GBK" w:eastAsia="方正仿宋_GBK" w:cs="方正仿宋_GBK"/>
          <w:color w:val="auto"/>
          <w:sz w:val="32"/>
          <w:szCs w:val="32"/>
          <w:highlight w:val="none"/>
        </w:rPr>
        <w:t>新疆向科技部、财政部备案为培训从事技术创新服务人员数量指标，指标值为</w:t>
      </w:r>
      <w:r>
        <w:rPr>
          <w:rFonts w:hint="eastAsia" w:ascii="方正仿宋_GBK" w:hAnsi="方正仿宋_GBK" w:eastAsia="方正仿宋_GBK" w:cs="方正仿宋_GBK"/>
          <w:color w:val="auto"/>
          <w:sz w:val="32"/>
          <w:szCs w:val="32"/>
          <w:highlight w:val="none"/>
          <w:lang w:val="en-US" w:eastAsia="zh-CN"/>
        </w:rPr>
        <w:t>4906</w:t>
      </w:r>
      <w:r>
        <w:rPr>
          <w:rFonts w:hint="eastAsia" w:ascii="方正仿宋_GBK" w:hAnsi="方正仿宋_GBK" w:eastAsia="方正仿宋_GBK" w:cs="方正仿宋_GBK"/>
          <w:color w:val="auto"/>
          <w:sz w:val="32"/>
          <w:szCs w:val="32"/>
          <w:highlight w:val="none"/>
        </w:rPr>
        <w:t>人次，新疆实际完成值为</w:t>
      </w: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eastAsia="zh-CN"/>
        </w:rPr>
        <w:t>203</w:t>
      </w:r>
      <w:r>
        <w:rPr>
          <w:rFonts w:hint="eastAsia" w:ascii="方正仿宋_GBK" w:hAnsi="方正仿宋_GBK" w:eastAsia="方正仿宋_GBK" w:cs="方正仿宋_GBK"/>
          <w:color w:val="auto"/>
          <w:sz w:val="32"/>
          <w:szCs w:val="32"/>
          <w:highlight w:val="none"/>
        </w:rPr>
        <w:t>人次，完成率为</w:t>
      </w:r>
      <w:r>
        <w:rPr>
          <w:rFonts w:hint="default" w:ascii="方正仿宋_GBK" w:hAnsi="方正仿宋_GBK" w:eastAsia="方正仿宋_GBK" w:cs="方正仿宋_GBK"/>
          <w:color w:val="auto"/>
          <w:sz w:val="32"/>
          <w:szCs w:val="32"/>
          <w:highlight w:val="none"/>
          <w:lang w:eastAsia="zh-CN"/>
        </w:rPr>
        <w:t>85.87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14.33</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c.</w:t>
      </w:r>
      <w:r>
        <w:rPr>
          <w:rFonts w:hint="eastAsia" w:ascii="方正仿宋_GBK" w:hAnsi="方正仿宋_GBK" w:eastAsia="方正仿宋_GBK" w:cs="方正仿宋_GBK"/>
          <w:color w:val="auto"/>
          <w:sz w:val="32"/>
          <w:szCs w:val="32"/>
          <w:highlight w:val="none"/>
        </w:rPr>
        <w:t>新疆向科技部、财政部备案为提供技术咨询/技术服务数量指标，指标值为</w:t>
      </w:r>
      <w:r>
        <w:rPr>
          <w:rFonts w:hint="eastAsia" w:ascii="方正仿宋_GBK" w:hAnsi="方正仿宋_GBK" w:eastAsia="方正仿宋_GBK" w:cs="方正仿宋_GBK"/>
          <w:color w:val="auto"/>
          <w:sz w:val="32"/>
          <w:szCs w:val="32"/>
          <w:highlight w:val="none"/>
          <w:lang w:val="en-US" w:eastAsia="zh-CN"/>
        </w:rPr>
        <w:t>4017</w:t>
      </w:r>
      <w:r>
        <w:rPr>
          <w:rFonts w:hint="eastAsia" w:ascii="方正仿宋_GBK" w:hAnsi="方正仿宋_GBK" w:eastAsia="方正仿宋_GBK" w:cs="方正仿宋_GBK"/>
          <w:color w:val="auto"/>
          <w:sz w:val="32"/>
          <w:szCs w:val="32"/>
          <w:highlight w:val="none"/>
        </w:rPr>
        <w:t>人次，新疆实际完成值为</w:t>
      </w:r>
      <w:r>
        <w:rPr>
          <w:rFonts w:hint="default" w:ascii="方正仿宋_GBK" w:hAnsi="方正仿宋_GBK" w:eastAsia="方正仿宋_GBK" w:cs="方正仿宋_GBK"/>
          <w:color w:val="auto"/>
          <w:sz w:val="32"/>
          <w:szCs w:val="32"/>
          <w:highlight w:val="none"/>
          <w:lang w:eastAsia="zh-CN"/>
        </w:rPr>
        <w:t>9573</w:t>
      </w:r>
      <w:r>
        <w:rPr>
          <w:rFonts w:hint="eastAsia" w:ascii="方正仿宋_GBK" w:hAnsi="方正仿宋_GBK" w:eastAsia="方正仿宋_GBK" w:cs="方正仿宋_GBK"/>
          <w:color w:val="auto"/>
          <w:sz w:val="32"/>
          <w:szCs w:val="32"/>
          <w:highlight w:val="none"/>
        </w:rPr>
        <w:t>人次，完成率为</w:t>
      </w:r>
      <w:r>
        <w:rPr>
          <w:rFonts w:hint="default" w:ascii="方正仿宋_GBK" w:hAnsi="方正仿宋_GBK" w:eastAsia="方正仿宋_GBK" w:cs="方正仿宋_GBK"/>
          <w:color w:val="auto"/>
          <w:sz w:val="32"/>
          <w:szCs w:val="32"/>
          <w:highlight w:val="none"/>
          <w:lang w:eastAsia="zh-CN"/>
        </w:rPr>
        <w:t>238.31</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138.31</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d.</w:t>
      </w:r>
      <w:r>
        <w:rPr>
          <w:rFonts w:hint="eastAsia" w:ascii="方正仿宋_GBK" w:hAnsi="方正仿宋_GBK" w:eastAsia="方正仿宋_GBK" w:cs="方正仿宋_GBK"/>
          <w:color w:val="auto"/>
          <w:sz w:val="32"/>
          <w:szCs w:val="32"/>
          <w:highlight w:val="none"/>
        </w:rPr>
        <w:t>新疆向科技部、财政部备案为</w:t>
      </w:r>
      <w:r>
        <w:rPr>
          <w:rFonts w:hint="eastAsia" w:ascii="方正仿宋_GBK" w:hAnsi="方正仿宋_GBK" w:eastAsia="方正仿宋_GBK" w:cs="方正仿宋_GBK"/>
          <w:color w:val="auto"/>
          <w:sz w:val="32"/>
          <w:szCs w:val="32"/>
          <w:highlight w:val="none"/>
          <w:lang w:eastAsia="zh-CN"/>
        </w:rPr>
        <w:t>科技帮扶支撑乡村振兴项目</w:t>
      </w:r>
      <w:r>
        <w:rPr>
          <w:rFonts w:hint="eastAsia" w:ascii="方正仿宋_GBK" w:hAnsi="方正仿宋_GBK" w:eastAsia="方正仿宋_GBK" w:cs="方正仿宋_GBK"/>
          <w:color w:val="auto"/>
          <w:sz w:val="32"/>
          <w:szCs w:val="32"/>
          <w:highlight w:val="none"/>
        </w:rPr>
        <w:t>数量指标，指标值为</w:t>
      </w:r>
      <w:r>
        <w:rPr>
          <w:rFonts w:hint="eastAsia" w:ascii="方正仿宋_GBK" w:hAnsi="方正仿宋_GBK" w:eastAsia="方正仿宋_GBK" w:cs="方正仿宋_GBK"/>
          <w:color w:val="auto"/>
          <w:sz w:val="32"/>
          <w:szCs w:val="32"/>
          <w:highlight w:val="none"/>
          <w:lang w:val="en-US" w:eastAsia="zh-CN"/>
        </w:rPr>
        <w:t>大于4项</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lang w:eastAsia="zh-CN"/>
        </w:rPr>
        <w:t>5</w:t>
      </w:r>
      <w:r>
        <w:rPr>
          <w:rFonts w:hint="eastAsia" w:ascii="方正仿宋_GBK" w:hAnsi="方正仿宋_GBK" w:eastAsia="方正仿宋_GBK" w:cs="方正仿宋_GBK"/>
          <w:color w:val="auto"/>
          <w:sz w:val="32"/>
          <w:szCs w:val="32"/>
          <w:highlight w:val="none"/>
          <w:lang w:val="en-US" w:eastAsia="zh-CN"/>
        </w:rPr>
        <w:t>项</w:t>
      </w:r>
      <w:r>
        <w:rPr>
          <w:rFonts w:hint="eastAsia" w:ascii="方正仿宋_GBK" w:hAnsi="方正仿宋_GBK" w:eastAsia="方正仿宋_GBK" w:cs="方正仿宋_GBK"/>
          <w:color w:val="auto"/>
          <w:sz w:val="32"/>
          <w:szCs w:val="32"/>
          <w:highlight w:val="none"/>
        </w:rPr>
        <w:t>，完成率为</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eastAsia="zh-CN"/>
        </w:rPr>
        <w:t>25</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25</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e</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新疆向科技部、财政部备案为培训技术经纪人数量指标，指标值为</w:t>
      </w:r>
      <w:r>
        <w:rPr>
          <w:rFonts w:hint="eastAsia" w:ascii="方正仿宋_GBK" w:hAnsi="方正仿宋_GBK" w:eastAsia="方正仿宋_GBK" w:cs="方正仿宋_GBK"/>
          <w:color w:val="auto"/>
          <w:sz w:val="32"/>
          <w:szCs w:val="32"/>
          <w:highlight w:val="none"/>
          <w:lang w:val="en-US" w:eastAsia="zh-CN"/>
        </w:rPr>
        <w:t>119</w:t>
      </w:r>
      <w:r>
        <w:rPr>
          <w:rFonts w:hint="eastAsia" w:ascii="方正仿宋_GBK" w:hAnsi="方正仿宋_GBK" w:eastAsia="方正仿宋_GBK" w:cs="方正仿宋_GBK"/>
          <w:color w:val="auto"/>
          <w:sz w:val="32"/>
          <w:szCs w:val="32"/>
          <w:highlight w:val="none"/>
        </w:rPr>
        <w:t>人次，新疆实际完成值为</w:t>
      </w:r>
      <w:r>
        <w:rPr>
          <w:rFonts w:hint="default" w:ascii="方正仿宋_GBK" w:hAnsi="方正仿宋_GBK" w:eastAsia="方正仿宋_GBK" w:cs="方正仿宋_GBK"/>
          <w:color w:val="auto"/>
          <w:sz w:val="32"/>
          <w:szCs w:val="32"/>
          <w:highlight w:val="none"/>
          <w:lang w:eastAsia="zh-CN"/>
        </w:rPr>
        <w:t>808</w:t>
      </w:r>
      <w:r>
        <w:rPr>
          <w:rFonts w:hint="eastAsia" w:ascii="方正仿宋_GBK" w:hAnsi="方正仿宋_GBK" w:eastAsia="方正仿宋_GBK" w:cs="方正仿宋_GBK"/>
          <w:color w:val="auto"/>
          <w:sz w:val="32"/>
          <w:szCs w:val="32"/>
          <w:highlight w:val="none"/>
        </w:rPr>
        <w:t>人次，完成率为</w:t>
      </w:r>
      <w:r>
        <w:rPr>
          <w:rFonts w:hint="default" w:ascii="方正仿宋_GBK" w:hAnsi="方正仿宋_GBK" w:eastAsia="方正仿宋_GBK" w:cs="方正仿宋_GBK"/>
          <w:color w:val="auto"/>
          <w:sz w:val="32"/>
          <w:szCs w:val="32"/>
          <w:highlight w:val="none"/>
        </w:rPr>
        <w:t>678.99</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578.99</w:t>
      </w:r>
      <w:r>
        <w:rPr>
          <w:rFonts w:hint="eastAsia" w:ascii="方正仿宋_GBK" w:hAnsi="方正仿宋_GBK" w:eastAsia="方正仿宋_GBK" w:cs="方正仿宋_GBK"/>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3.满意度指标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a.</w:t>
      </w:r>
      <w:r>
        <w:rPr>
          <w:rFonts w:hint="eastAsia" w:ascii="方正仿宋_GBK" w:hAnsi="方正仿宋_GBK" w:eastAsia="方正仿宋_GBK" w:cs="方正仿宋_GBK"/>
          <w:color w:val="auto"/>
          <w:sz w:val="32"/>
          <w:szCs w:val="32"/>
          <w:highlight w:val="none"/>
        </w:rPr>
        <w:t>新疆向科技部、财政部备案为被服务对象满意度指标，指标值为大于等于9</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%，新疆实际完成值为95%，完成率为10</w:t>
      </w:r>
      <w:r>
        <w:rPr>
          <w:rFonts w:hint="eastAsia" w:ascii="方正仿宋_GBK" w:hAnsi="方正仿宋_GBK" w:eastAsia="方正仿宋_GBK" w:cs="方正仿宋_GBK"/>
          <w:color w:val="auto"/>
          <w:sz w:val="32"/>
          <w:szCs w:val="32"/>
          <w:highlight w:val="none"/>
          <w:lang w:val="en-US" w:eastAsia="zh-CN"/>
        </w:rPr>
        <w:t>5.56</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5.56</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 w:hAnsi="仿宋" w:eastAsia="仿宋" w:cs="仿宋"/>
          <w:sz w:val="32"/>
          <w:szCs w:val="32"/>
          <w:highlight w:val="none"/>
          <w:lang w:eastAsia="zh-CN"/>
        </w:rPr>
      </w:pPr>
      <w:r>
        <w:rPr>
          <w:rFonts w:hint="eastAsia" w:ascii="楷体" w:hAnsi="楷体" w:eastAsia="楷体" w:cs="楷体"/>
          <w:b/>
          <w:bCs/>
          <w:sz w:val="32"/>
          <w:szCs w:val="32"/>
          <w:highlight w:val="none"/>
          <w:lang w:eastAsia="zh-CN"/>
        </w:rPr>
        <w:t>（一）总体目标和绩效指标未完成或超过指标值较多的原因分析，下一步改进措施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1.未完成数量指标完成率超30%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2.完成率超出30%及以上指标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val="0"/>
          <w:bCs w:val="0"/>
          <w:color w:val="auto"/>
          <w:kern w:val="2"/>
          <w:sz w:val="32"/>
          <w:szCs w:val="32"/>
          <w:highlight w:val="none"/>
          <w:lang w:val="en-US" w:eastAsia="zh-CN" w:bidi="ar-SA"/>
        </w:rPr>
        <w:t>支持东西部科技合作及区域协同创新项目数量</w:t>
      </w:r>
      <w:r>
        <w:rPr>
          <w:rFonts w:hint="eastAsia" w:ascii="方正仿宋_GBK" w:hAnsi="方正仿宋_GBK" w:eastAsia="方正仿宋_GBK" w:cs="方正仿宋_GBK"/>
          <w:color w:val="auto"/>
          <w:sz w:val="32"/>
          <w:szCs w:val="32"/>
          <w:highlight w:val="none"/>
        </w:rPr>
        <w:t>指标，</w:t>
      </w:r>
      <w:r>
        <w:rPr>
          <w:rFonts w:hint="eastAsia" w:ascii="方正仿宋_GBK" w:hAnsi="方正仿宋_GBK" w:eastAsia="方正仿宋_GBK" w:cs="方正仿宋_GBK"/>
          <w:b w:val="0"/>
          <w:bCs w:val="0"/>
          <w:color w:val="auto"/>
          <w:kern w:val="2"/>
          <w:sz w:val="32"/>
          <w:szCs w:val="32"/>
          <w:highlight w:val="none"/>
          <w:lang w:val="en-US" w:eastAsia="zh-CN" w:bidi="ar-SA"/>
        </w:rPr>
        <w:t>指标值为6项，新疆实际完成值为11项，完成率为183.33%，偏差率为83.33%。</w:t>
      </w:r>
      <w:r>
        <w:rPr>
          <w:rFonts w:hint="eastAsia" w:ascii="方正仿宋_GBK" w:hAnsi="方正仿宋_GBK" w:eastAsia="方正仿宋_GBK" w:cs="方正仿宋_GBK"/>
          <w:color w:val="auto"/>
          <w:sz w:val="32"/>
          <w:szCs w:val="32"/>
          <w:highlight w:val="none"/>
          <w:lang w:val="en-US" w:eastAsia="zh-CN"/>
        </w:rPr>
        <w:t>偏差原因：</w:t>
      </w:r>
      <w:r>
        <w:rPr>
          <w:rFonts w:hint="eastAsia" w:ascii="方正仿宋_GBK" w:hAnsi="方正仿宋_GBK" w:eastAsia="方正仿宋_GBK" w:cs="方正仿宋_GBK"/>
          <w:color w:val="auto"/>
          <w:sz w:val="32"/>
          <w:szCs w:val="32"/>
          <w:highlight w:val="none"/>
        </w:rPr>
        <w:t>中央</w:t>
      </w:r>
      <w:r>
        <w:rPr>
          <w:rFonts w:hint="eastAsia" w:ascii="方正仿宋_GBK" w:hAnsi="方正仿宋_GBK" w:eastAsia="方正仿宋_GBK" w:cs="方正仿宋_GBK"/>
          <w:color w:val="auto"/>
          <w:sz w:val="32"/>
          <w:szCs w:val="32"/>
          <w:highlight w:val="none"/>
          <w:lang w:val="en-US" w:eastAsia="zh-CN"/>
        </w:rPr>
        <w:t>加大对新疆</w:t>
      </w:r>
      <w:r>
        <w:rPr>
          <w:rFonts w:hint="eastAsia" w:ascii="方正仿宋_GBK" w:hAnsi="方正仿宋_GBK" w:eastAsia="方正仿宋_GBK" w:cs="方正仿宋_GBK"/>
          <w:color w:val="auto"/>
          <w:sz w:val="32"/>
          <w:szCs w:val="32"/>
          <w:highlight w:val="none"/>
        </w:rPr>
        <w:t>引导地方资金</w:t>
      </w:r>
      <w:r>
        <w:rPr>
          <w:rFonts w:hint="eastAsia" w:ascii="方正仿宋_GBK" w:hAnsi="方正仿宋_GBK" w:eastAsia="方正仿宋_GBK" w:cs="方正仿宋_GBK"/>
          <w:color w:val="auto"/>
          <w:sz w:val="32"/>
          <w:szCs w:val="32"/>
          <w:highlight w:val="none"/>
          <w:lang w:val="en-US" w:eastAsia="zh-CN"/>
        </w:rPr>
        <w:t>支持力度</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东西部科技合作</w:t>
      </w:r>
      <w:r>
        <w:rPr>
          <w:rFonts w:hint="eastAsia" w:ascii="方正仿宋_GBK" w:hAnsi="方正仿宋_GBK" w:eastAsia="方正仿宋_GBK" w:cs="方正仿宋_GBK"/>
          <w:color w:val="auto"/>
          <w:sz w:val="32"/>
          <w:szCs w:val="32"/>
          <w:highlight w:val="none"/>
        </w:rPr>
        <w:t>项目立项数相应增加。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带动社会投入与引导资金投入比例指标，指标值为</w:t>
      </w:r>
      <w:r>
        <w:rPr>
          <w:rFonts w:hint="eastAsia" w:ascii="方正仿宋_GBK" w:hAnsi="方正仿宋_GBK" w:eastAsia="方正仿宋_GBK" w:cs="方正仿宋_GBK"/>
          <w:b w:val="0"/>
          <w:bCs w:val="0"/>
          <w:color w:val="auto"/>
          <w:kern w:val="2"/>
          <w:sz w:val="32"/>
          <w:szCs w:val="32"/>
          <w:highlight w:val="none"/>
          <w:lang w:val="en-US" w:eastAsia="zh-CN" w:bidi="ar-SA"/>
        </w:rPr>
        <w:t>带动社会投入与引导资金投入比例指标，指标值为大于2，新疆实际完成值为2.64，完成率为132%，偏差率为32%。</w:t>
      </w:r>
      <w:r>
        <w:rPr>
          <w:rFonts w:hint="eastAsia" w:ascii="方正仿宋_GBK" w:hAnsi="方正仿宋_GBK" w:eastAsia="方正仿宋_GBK" w:cs="方正仿宋_GBK"/>
          <w:color w:val="auto"/>
          <w:sz w:val="32"/>
          <w:szCs w:val="32"/>
          <w:highlight w:val="none"/>
          <w:lang w:val="en-US" w:eastAsia="zh-CN"/>
        </w:rPr>
        <w:t>偏差原因：企业承担的</w:t>
      </w:r>
      <w:r>
        <w:rPr>
          <w:rFonts w:hint="eastAsia" w:ascii="方正仿宋_GBK" w:hAnsi="方正仿宋_GBK" w:eastAsia="方正仿宋_GBK" w:cs="方正仿宋_GBK"/>
          <w:color w:val="auto"/>
          <w:sz w:val="32"/>
          <w:szCs w:val="32"/>
          <w:highlight w:val="none"/>
        </w:rPr>
        <w:t>项目数增加，</w:t>
      </w:r>
      <w:r>
        <w:rPr>
          <w:rFonts w:hint="eastAsia" w:ascii="方正仿宋_GBK" w:hAnsi="方正仿宋_GBK" w:eastAsia="方正仿宋_GBK" w:cs="方正仿宋_GBK"/>
          <w:color w:val="auto"/>
          <w:sz w:val="32"/>
          <w:szCs w:val="32"/>
          <w:highlight w:val="none"/>
          <w:lang w:val="en-US" w:eastAsia="zh-CN"/>
        </w:rPr>
        <w:t>增加了</w:t>
      </w:r>
      <w:r>
        <w:rPr>
          <w:rFonts w:hint="eastAsia" w:ascii="方正仿宋_GBK" w:hAnsi="方正仿宋_GBK" w:eastAsia="方正仿宋_GBK" w:cs="方正仿宋_GBK"/>
          <w:color w:val="auto"/>
          <w:sz w:val="32"/>
          <w:szCs w:val="32"/>
          <w:highlight w:val="none"/>
        </w:rPr>
        <w:t>科技投入资金。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促进科技投融资金额指标，指标值为</w:t>
      </w:r>
      <w:r>
        <w:rPr>
          <w:rFonts w:hint="eastAsia" w:ascii="方正仿宋_GBK" w:hAnsi="方正仿宋_GBK" w:eastAsia="方正仿宋_GBK" w:cs="方正仿宋_GBK"/>
          <w:color w:val="auto"/>
          <w:sz w:val="32"/>
          <w:szCs w:val="32"/>
          <w:highlight w:val="none"/>
          <w:lang w:val="en-US" w:eastAsia="zh-CN"/>
        </w:rPr>
        <w:t>大于3000万元</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lang w:eastAsia="zh-CN"/>
        </w:rPr>
        <w:t>5567.05</w:t>
      </w:r>
      <w:r>
        <w:rPr>
          <w:rFonts w:hint="eastAsia" w:ascii="方正仿宋_GBK" w:hAnsi="方正仿宋_GBK" w:eastAsia="方正仿宋_GBK" w:cs="方正仿宋_GBK"/>
          <w:color w:val="auto"/>
          <w:sz w:val="32"/>
          <w:szCs w:val="32"/>
          <w:highlight w:val="none"/>
          <w:lang w:eastAsia="zh-CN"/>
        </w:rPr>
        <w:t>万元</w:t>
      </w:r>
      <w:r>
        <w:rPr>
          <w:rFonts w:hint="eastAsia" w:ascii="方正仿宋_GBK" w:hAnsi="方正仿宋_GBK" w:eastAsia="方正仿宋_GBK" w:cs="方正仿宋_GBK"/>
          <w:color w:val="auto"/>
          <w:sz w:val="32"/>
          <w:szCs w:val="32"/>
          <w:highlight w:val="none"/>
        </w:rPr>
        <w:t>，完成率为</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eastAsia="zh-CN"/>
        </w:rPr>
        <w:t>85.57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85.57</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偏差原因：企业承担的</w:t>
      </w:r>
      <w:r>
        <w:rPr>
          <w:rFonts w:hint="eastAsia" w:ascii="方正仿宋_GBK" w:hAnsi="方正仿宋_GBK" w:eastAsia="方正仿宋_GBK" w:cs="方正仿宋_GBK"/>
          <w:color w:val="auto"/>
          <w:sz w:val="32"/>
          <w:szCs w:val="32"/>
          <w:highlight w:val="none"/>
        </w:rPr>
        <w:t>项目数增加，</w:t>
      </w:r>
      <w:r>
        <w:rPr>
          <w:rFonts w:hint="eastAsia" w:ascii="方正仿宋_GBK" w:hAnsi="方正仿宋_GBK" w:eastAsia="方正仿宋_GBK" w:cs="方正仿宋_GBK"/>
          <w:color w:val="auto"/>
          <w:sz w:val="32"/>
          <w:szCs w:val="32"/>
          <w:highlight w:val="none"/>
          <w:lang w:val="en-US" w:eastAsia="zh-CN"/>
        </w:rPr>
        <w:t>投融资金额也随之增加</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（4）</w:t>
      </w:r>
      <w:r>
        <w:rPr>
          <w:rFonts w:hint="eastAsia" w:ascii="方正仿宋_GBK" w:hAnsi="方正仿宋_GBK" w:eastAsia="方正仿宋_GBK" w:cs="方正仿宋_GBK"/>
          <w:color w:val="auto"/>
          <w:sz w:val="32"/>
          <w:szCs w:val="32"/>
          <w:highlight w:val="none"/>
        </w:rPr>
        <w:t>支持高新技术企业数量指标，指标值为</w:t>
      </w:r>
      <w:r>
        <w:rPr>
          <w:rFonts w:hint="eastAsia" w:ascii="方正仿宋_GBK" w:hAnsi="方正仿宋_GBK" w:eastAsia="方正仿宋_GBK" w:cs="方正仿宋_GBK"/>
          <w:color w:val="auto"/>
          <w:sz w:val="32"/>
          <w:szCs w:val="32"/>
          <w:highlight w:val="none"/>
          <w:lang w:eastAsia="zh-CN"/>
        </w:rPr>
        <w:t>大于</w:t>
      </w:r>
      <w:r>
        <w:rPr>
          <w:rFonts w:hint="eastAsia" w:ascii="方正仿宋_GBK" w:hAnsi="方正仿宋_GBK" w:eastAsia="方正仿宋_GBK" w:cs="方正仿宋_GBK"/>
          <w:color w:val="auto"/>
          <w:sz w:val="32"/>
          <w:szCs w:val="32"/>
          <w:highlight w:val="none"/>
          <w:lang w:val="en-US" w:eastAsia="zh-CN"/>
        </w:rPr>
        <w:t>23家</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rPr>
        <w:t>45</w:t>
      </w:r>
      <w:r>
        <w:rPr>
          <w:rFonts w:hint="eastAsia" w:ascii="方正仿宋_GBK" w:hAnsi="方正仿宋_GBK" w:eastAsia="方正仿宋_GBK" w:cs="方正仿宋_GBK"/>
          <w:color w:val="auto"/>
          <w:sz w:val="32"/>
          <w:szCs w:val="32"/>
          <w:highlight w:val="none"/>
          <w:lang w:eastAsia="zh-CN"/>
        </w:rPr>
        <w:t>家</w:t>
      </w:r>
      <w:r>
        <w:rPr>
          <w:rFonts w:hint="eastAsia" w:ascii="方正仿宋_GBK" w:hAnsi="方正仿宋_GBK" w:eastAsia="方正仿宋_GBK" w:cs="方正仿宋_GBK"/>
          <w:color w:val="auto"/>
          <w:sz w:val="32"/>
          <w:szCs w:val="32"/>
          <w:highlight w:val="none"/>
        </w:rPr>
        <w:t>，完成率为</w:t>
      </w: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95.65</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95.65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偏差原因：企业承担的</w:t>
      </w:r>
      <w:r>
        <w:rPr>
          <w:rFonts w:hint="eastAsia" w:ascii="方正仿宋_GBK" w:hAnsi="方正仿宋_GBK" w:eastAsia="方正仿宋_GBK" w:cs="方正仿宋_GBK"/>
          <w:color w:val="auto"/>
          <w:sz w:val="32"/>
          <w:szCs w:val="32"/>
          <w:highlight w:val="none"/>
        </w:rPr>
        <w:t>项目数增加</w:t>
      </w:r>
      <w:r>
        <w:rPr>
          <w:rFonts w:hint="default"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rPr>
        <w:t>支持高新技术企业数量</w:t>
      </w:r>
      <w:r>
        <w:rPr>
          <w:rFonts w:hint="default" w:ascii="方正仿宋_GBK" w:hAnsi="方正仿宋_GBK" w:eastAsia="方正仿宋_GBK" w:cs="方正仿宋_GBK"/>
          <w:color w:val="auto"/>
          <w:sz w:val="32"/>
          <w:szCs w:val="32"/>
          <w:highlight w:val="none"/>
        </w:rPr>
        <w:t>也随之增加。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（5）</w:t>
      </w:r>
      <w:r>
        <w:rPr>
          <w:rFonts w:hint="eastAsia" w:ascii="方正仿宋_GBK" w:hAnsi="方正仿宋_GBK" w:eastAsia="方正仿宋_GBK" w:cs="方正仿宋_GBK"/>
          <w:color w:val="auto"/>
          <w:sz w:val="32"/>
          <w:szCs w:val="32"/>
          <w:highlight w:val="none"/>
        </w:rPr>
        <w:t>支持科技型中小企业数量指标，指标值为</w:t>
      </w:r>
      <w:r>
        <w:rPr>
          <w:rFonts w:hint="eastAsia" w:ascii="方正仿宋_GBK" w:hAnsi="方正仿宋_GBK" w:eastAsia="方正仿宋_GBK" w:cs="方正仿宋_GBK"/>
          <w:color w:val="auto"/>
          <w:sz w:val="32"/>
          <w:szCs w:val="32"/>
          <w:highlight w:val="none"/>
          <w:lang w:eastAsia="zh-CN"/>
        </w:rPr>
        <w:t>大于</w:t>
      </w:r>
      <w:r>
        <w:rPr>
          <w:rFonts w:hint="eastAsia" w:ascii="方正仿宋_GBK" w:hAnsi="方正仿宋_GBK" w:eastAsia="方正仿宋_GBK" w:cs="方正仿宋_GBK"/>
          <w:color w:val="auto"/>
          <w:sz w:val="32"/>
          <w:szCs w:val="32"/>
          <w:highlight w:val="none"/>
          <w:lang w:val="en-US" w:eastAsia="zh-CN"/>
        </w:rPr>
        <w:t>30家</w:t>
      </w:r>
      <w:r>
        <w:rPr>
          <w:rFonts w:hint="eastAsia" w:ascii="方正仿宋_GBK" w:hAnsi="方正仿宋_GBK" w:eastAsia="方正仿宋_GBK" w:cs="方正仿宋_GBK"/>
          <w:color w:val="auto"/>
          <w:sz w:val="32"/>
          <w:szCs w:val="32"/>
          <w:highlight w:val="none"/>
        </w:rPr>
        <w:t>，新疆实际完成值为</w:t>
      </w:r>
      <w:r>
        <w:rPr>
          <w:rFonts w:hint="default" w:ascii="方正仿宋_GBK" w:hAnsi="方正仿宋_GBK" w:eastAsia="方正仿宋_GBK" w:cs="方正仿宋_GBK"/>
          <w:color w:val="auto"/>
          <w:sz w:val="32"/>
          <w:szCs w:val="32"/>
          <w:highlight w:val="none"/>
          <w:lang w:eastAsia="zh-CN"/>
        </w:rPr>
        <w:t>119</w:t>
      </w:r>
      <w:r>
        <w:rPr>
          <w:rFonts w:hint="eastAsia" w:ascii="方正仿宋_GBK" w:hAnsi="方正仿宋_GBK" w:eastAsia="方正仿宋_GBK" w:cs="方正仿宋_GBK"/>
          <w:color w:val="auto"/>
          <w:sz w:val="32"/>
          <w:szCs w:val="32"/>
          <w:highlight w:val="none"/>
          <w:lang w:val="en-US" w:eastAsia="zh-CN"/>
        </w:rPr>
        <w:t>家</w:t>
      </w:r>
      <w:r>
        <w:rPr>
          <w:rFonts w:hint="eastAsia" w:ascii="方正仿宋_GBK" w:hAnsi="方正仿宋_GBK" w:eastAsia="方正仿宋_GBK" w:cs="方正仿宋_GBK"/>
          <w:color w:val="auto"/>
          <w:sz w:val="32"/>
          <w:szCs w:val="32"/>
          <w:highlight w:val="none"/>
        </w:rPr>
        <w:t>，完成率为</w:t>
      </w:r>
      <w:r>
        <w:rPr>
          <w:rFonts w:hint="default" w:ascii="方正仿宋_GBK" w:hAnsi="方正仿宋_GBK" w:eastAsia="方正仿宋_GBK" w:cs="方正仿宋_GBK"/>
          <w:color w:val="auto"/>
          <w:sz w:val="32"/>
          <w:szCs w:val="32"/>
          <w:highlight w:val="none"/>
          <w:lang w:eastAsia="zh-CN"/>
        </w:rPr>
        <w:t>396.67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rPr>
        <w:t>29</w:t>
      </w:r>
      <w:r>
        <w:rPr>
          <w:rFonts w:hint="eastAsia" w:ascii="方正仿宋_GBK" w:hAnsi="方正仿宋_GBK" w:eastAsia="方正仿宋_GBK" w:cs="方正仿宋_GBK"/>
          <w:color w:val="auto"/>
          <w:sz w:val="32"/>
          <w:szCs w:val="32"/>
          <w:highlight w:val="none"/>
          <w:lang w:val="en-US" w:eastAsia="zh-CN"/>
        </w:rPr>
        <w:t>6.67</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偏差原因：企业承担的</w:t>
      </w:r>
      <w:r>
        <w:rPr>
          <w:rFonts w:hint="eastAsia" w:ascii="方正仿宋_GBK" w:hAnsi="方正仿宋_GBK" w:eastAsia="方正仿宋_GBK" w:cs="方正仿宋_GBK"/>
          <w:color w:val="auto"/>
          <w:sz w:val="32"/>
          <w:szCs w:val="32"/>
          <w:highlight w:val="none"/>
        </w:rPr>
        <w:t>项目数增加</w:t>
      </w:r>
      <w:r>
        <w:rPr>
          <w:rFonts w:hint="default"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rPr>
        <w:t>支持科技型中小企业数量</w:t>
      </w:r>
      <w:r>
        <w:rPr>
          <w:rFonts w:hint="default" w:ascii="方正仿宋_GBK" w:hAnsi="方正仿宋_GBK" w:eastAsia="方正仿宋_GBK" w:cs="方正仿宋_GBK"/>
          <w:color w:val="auto"/>
          <w:sz w:val="32"/>
          <w:szCs w:val="32"/>
          <w:highlight w:val="none"/>
        </w:rPr>
        <w:t>也随之增加。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（6）</w:t>
      </w:r>
      <w:r>
        <w:rPr>
          <w:rFonts w:hint="eastAsia" w:ascii="方正仿宋_GBK" w:hAnsi="方正仿宋_GBK" w:eastAsia="方正仿宋_GBK" w:cs="方正仿宋_GBK"/>
          <w:color w:val="auto"/>
          <w:sz w:val="32"/>
          <w:szCs w:val="32"/>
          <w:highlight w:val="none"/>
        </w:rPr>
        <w:t>促进技术合同成交额指标，指标值为</w:t>
      </w:r>
      <w:r>
        <w:rPr>
          <w:rFonts w:hint="eastAsia" w:ascii="方正仿宋_GBK" w:hAnsi="方正仿宋_GBK" w:eastAsia="方正仿宋_GBK" w:cs="方正仿宋_GBK"/>
          <w:color w:val="auto"/>
          <w:sz w:val="32"/>
          <w:szCs w:val="32"/>
          <w:highlight w:val="none"/>
          <w:lang w:val="en-US" w:eastAsia="zh-CN"/>
        </w:rPr>
        <w:t>大于3143</w:t>
      </w:r>
      <w:r>
        <w:rPr>
          <w:rFonts w:hint="eastAsia" w:ascii="方正仿宋_GBK" w:hAnsi="方正仿宋_GBK" w:eastAsia="方正仿宋_GBK" w:cs="方正仿宋_GBK"/>
          <w:color w:val="auto"/>
          <w:sz w:val="32"/>
          <w:szCs w:val="32"/>
          <w:highlight w:val="none"/>
        </w:rPr>
        <w:t>万元，新疆实际完成值为</w:t>
      </w:r>
      <w:r>
        <w:rPr>
          <w:rFonts w:hint="default" w:ascii="方正仿宋_GBK" w:hAnsi="方正仿宋_GBK" w:eastAsia="方正仿宋_GBK" w:cs="方正仿宋_GBK"/>
          <w:color w:val="auto"/>
          <w:sz w:val="32"/>
          <w:szCs w:val="32"/>
          <w:highlight w:val="none"/>
          <w:lang w:eastAsia="zh-CN"/>
        </w:rPr>
        <w:t>8868.04</w:t>
      </w:r>
      <w:r>
        <w:rPr>
          <w:rFonts w:hint="eastAsia" w:ascii="方正仿宋_GBK" w:hAnsi="方正仿宋_GBK" w:eastAsia="方正仿宋_GBK" w:cs="方正仿宋_GBK"/>
          <w:color w:val="auto"/>
          <w:sz w:val="32"/>
          <w:szCs w:val="32"/>
          <w:highlight w:val="none"/>
        </w:rPr>
        <w:t>万元，完成率为</w:t>
      </w:r>
      <w:r>
        <w:rPr>
          <w:rFonts w:hint="default" w:ascii="方正仿宋_GBK" w:hAnsi="方正仿宋_GBK" w:eastAsia="方正仿宋_GBK" w:cs="方正仿宋_GBK"/>
          <w:color w:val="auto"/>
          <w:sz w:val="32"/>
          <w:szCs w:val="32"/>
          <w:highlight w:val="none"/>
          <w:lang w:eastAsia="zh-CN"/>
        </w:rPr>
        <w:t>282.15</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182.15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w:t>
      </w:r>
      <w:r>
        <w:rPr>
          <w:rFonts w:hint="default" w:ascii="方正仿宋_GBK" w:hAnsi="方正仿宋_GBK" w:eastAsia="方正仿宋_GBK" w:cs="方正仿宋_GBK"/>
          <w:color w:val="auto"/>
          <w:sz w:val="32"/>
          <w:szCs w:val="32"/>
          <w:highlight w:val="none"/>
          <w:lang w:eastAsia="zh-CN"/>
        </w:rPr>
        <w:t>由新疆电子研究所股份有限公司承担的“工业大数据要素应用与工业智能创新平台建设”项目，签订成交了一项大额技术合同。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（7）</w:t>
      </w:r>
      <w:r>
        <w:rPr>
          <w:rFonts w:hint="eastAsia" w:ascii="方正仿宋_GBK" w:hAnsi="方正仿宋_GBK" w:eastAsia="方正仿宋_GBK" w:cs="方正仿宋_GBK"/>
          <w:color w:val="auto"/>
          <w:sz w:val="32"/>
          <w:szCs w:val="32"/>
          <w:highlight w:val="none"/>
          <w:lang w:eastAsia="zh-CN"/>
        </w:rPr>
        <w:t>带动地方投入东西科技合作及区域协同创新资金</w:t>
      </w:r>
      <w:r>
        <w:rPr>
          <w:rFonts w:hint="eastAsia" w:ascii="方正仿宋_GBK" w:hAnsi="方正仿宋_GBK" w:eastAsia="方正仿宋_GBK" w:cs="方正仿宋_GBK"/>
          <w:color w:val="auto"/>
          <w:sz w:val="32"/>
          <w:szCs w:val="32"/>
          <w:highlight w:val="none"/>
        </w:rPr>
        <w:t>指标，指标值为</w:t>
      </w:r>
      <w:r>
        <w:rPr>
          <w:rFonts w:hint="eastAsia" w:ascii="方正仿宋_GBK" w:hAnsi="方正仿宋_GBK" w:eastAsia="方正仿宋_GBK" w:cs="方正仿宋_GBK"/>
          <w:color w:val="auto"/>
          <w:sz w:val="32"/>
          <w:szCs w:val="32"/>
          <w:highlight w:val="none"/>
          <w:lang w:val="en-US" w:eastAsia="zh-CN"/>
        </w:rPr>
        <w:t>大于1419</w:t>
      </w:r>
      <w:r>
        <w:rPr>
          <w:rFonts w:hint="eastAsia" w:ascii="方正仿宋_GBK" w:hAnsi="方正仿宋_GBK" w:eastAsia="方正仿宋_GBK" w:cs="方正仿宋_GBK"/>
          <w:color w:val="auto"/>
          <w:sz w:val="32"/>
          <w:szCs w:val="32"/>
          <w:highlight w:val="none"/>
        </w:rPr>
        <w:t>万元，新疆实际完成值为</w:t>
      </w:r>
      <w:r>
        <w:rPr>
          <w:rFonts w:hint="default" w:ascii="方正仿宋_GBK" w:hAnsi="方正仿宋_GBK" w:eastAsia="方正仿宋_GBK" w:cs="方正仿宋_GBK"/>
          <w:color w:val="auto"/>
          <w:sz w:val="32"/>
          <w:szCs w:val="32"/>
          <w:highlight w:val="none"/>
          <w:lang w:eastAsia="zh-CN"/>
        </w:rPr>
        <w:t>2172</w:t>
      </w:r>
      <w:r>
        <w:rPr>
          <w:rFonts w:hint="eastAsia" w:ascii="方正仿宋_GBK" w:hAnsi="方正仿宋_GBK" w:eastAsia="方正仿宋_GBK" w:cs="方正仿宋_GBK"/>
          <w:color w:val="auto"/>
          <w:sz w:val="32"/>
          <w:szCs w:val="32"/>
          <w:highlight w:val="none"/>
        </w:rPr>
        <w:t>万元，完成率为</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eastAsia="zh-CN"/>
        </w:rPr>
        <w:t>53.07</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53.07</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w:t>
      </w:r>
      <w:r>
        <w:rPr>
          <w:rFonts w:hint="default" w:ascii="方正仿宋_GBK" w:hAnsi="方正仿宋_GBK" w:eastAsia="方正仿宋_GBK" w:cs="方正仿宋_GBK"/>
          <w:color w:val="auto"/>
          <w:sz w:val="32"/>
          <w:szCs w:val="32"/>
          <w:highlight w:val="none"/>
          <w:lang w:eastAsia="zh-CN"/>
        </w:rPr>
        <w:t>企业自筹资金超过预期经费。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（8）</w:t>
      </w:r>
      <w:r>
        <w:rPr>
          <w:rFonts w:hint="eastAsia" w:ascii="方正仿宋_GBK" w:hAnsi="方正仿宋_GBK" w:eastAsia="方正仿宋_GBK" w:cs="方正仿宋_GBK"/>
          <w:color w:val="auto"/>
          <w:sz w:val="32"/>
          <w:szCs w:val="32"/>
          <w:highlight w:val="none"/>
        </w:rPr>
        <w:t>提供技术咨询/技术服务数量指标，指标值为</w:t>
      </w:r>
      <w:r>
        <w:rPr>
          <w:rFonts w:hint="eastAsia" w:ascii="方正仿宋_GBK" w:hAnsi="方正仿宋_GBK" w:eastAsia="方正仿宋_GBK" w:cs="方正仿宋_GBK"/>
          <w:color w:val="auto"/>
          <w:sz w:val="32"/>
          <w:szCs w:val="32"/>
          <w:highlight w:val="none"/>
          <w:lang w:val="en-US" w:eastAsia="zh-CN"/>
        </w:rPr>
        <w:t>4017</w:t>
      </w:r>
      <w:r>
        <w:rPr>
          <w:rFonts w:hint="eastAsia" w:ascii="方正仿宋_GBK" w:hAnsi="方正仿宋_GBK" w:eastAsia="方正仿宋_GBK" w:cs="方正仿宋_GBK"/>
          <w:color w:val="auto"/>
          <w:sz w:val="32"/>
          <w:szCs w:val="32"/>
          <w:highlight w:val="none"/>
        </w:rPr>
        <w:t>人次，新疆实际完成值为</w:t>
      </w:r>
      <w:r>
        <w:rPr>
          <w:rFonts w:hint="default" w:ascii="方正仿宋_GBK" w:hAnsi="方正仿宋_GBK" w:eastAsia="方正仿宋_GBK" w:cs="方正仿宋_GBK"/>
          <w:color w:val="auto"/>
          <w:sz w:val="32"/>
          <w:szCs w:val="32"/>
          <w:highlight w:val="none"/>
          <w:lang w:eastAsia="zh-CN"/>
        </w:rPr>
        <w:t>9573</w:t>
      </w:r>
      <w:r>
        <w:rPr>
          <w:rFonts w:hint="eastAsia" w:ascii="方正仿宋_GBK" w:hAnsi="方正仿宋_GBK" w:eastAsia="方正仿宋_GBK" w:cs="方正仿宋_GBK"/>
          <w:color w:val="auto"/>
          <w:sz w:val="32"/>
          <w:szCs w:val="32"/>
          <w:highlight w:val="none"/>
        </w:rPr>
        <w:t>人次，完成率为</w:t>
      </w:r>
      <w:r>
        <w:rPr>
          <w:rFonts w:hint="default" w:ascii="方正仿宋_GBK" w:hAnsi="方正仿宋_GBK" w:eastAsia="方正仿宋_GBK" w:cs="方正仿宋_GBK"/>
          <w:color w:val="auto"/>
          <w:sz w:val="32"/>
          <w:szCs w:val="32"/>
          <w:highlight w:val="none"/>
          <w:lang w:eastAsia="zh-CN"/>
        </w:rPr>
        <w:t>238.31</w:t>
      </w:r>
      <w:r>
        <w:rPr>
          <w:rFonts w:hint="eastAsia" w:ascii="方正仿宋_GBK" w:hAnsi="方正仿宋_GBK" w:eastAsia="方正仿宋_GBK" w:cs="方正仿宋_GBK"/>
          <w:color w:val="auto"/>
          <w:sz w:val="32"/>
          <w:szCs w:val="32"/>
          <w:highlight w:val="none"/>
        </w:rPr>
        <w:t>%，偏差率为</w:t>
      </w:r>
      <w:r>
        <w:rPr>
          <w:rFonts w:hint="default" w:ascii="方正仿宋_GBK" w:hAnsi="方正仿宋_GBK" w:eastAsia="方正仿宋_GBK" w:cs="方正仿宋_GBK"/>
          <w:color w:val="auto"/>
          <w:sz w:val="32"/>
          <w:szCs w:val="32"/>
          <w:highlight w:val="none"/>
          <w:lang w:eastAsia="zh-CN"/>
        </w:rPr>
        <w:t>138.31</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w:t>
      </w:r>
      <w:r>
        <w:rPr>
          <w:rFonts w:hint="default" w:ascii="方正仿宋_GBK" w:hAnsi="方正仿宋_GBK" w:eastAsia="方正仿宋_GBK" w:cs="方正仿宋_GBK"/>
          <w:color w:val="auto"/>
          <w:sz w:val="32"/>
          <w:szCs w:val="32"/>
          <w:highlight w:val="none"/>
          <w:lang w:eastAsia="zh-CN"/>
        </w:rPr>
        <w:t>由阿克苏地区第一人民医院承担的“基于数字眼科智能体系的新三级诊疗的模式构建和应用”项目，面向基层群众大面积开展医疗服务。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lang w:eastAsia="zh-CN"/>
        </w:rPr>
        <w:t>9</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培训技术经纪人数量指标，指标值为</w:t>
      </w:r>
      <w:r>
        <w:rPr>
          <w:rFonts w:hint="eastAsia" w:ascii="方正仿宋_GBK" w:hAnsi="方正仿宋_GBK" w:eastAsia="方正仿宋_GBK" w:cs="方正仿宋_GBK"/>
          <w:color w:val="auto"/>
          <w:sz w:val="32"/>
          <w:szCs w:val="32"/>
          <w:highlight w:val="none"/>
          <w:lang w:val="en-US" w:eastAsia="zh-CN"/>
        </w:rPr>
        <w:t>119</w:t>
      </w:r>
      <w:r>
        <w:rPr>
          <w:rFonts w:hint="eastAsia" w:ascii="方正仿宋_GBK" w:hAnsi="方正仿宋_GBK" w:eastAsia="方正仿宋_GBK" w:cs="方正仿宋_GBK"/>
          <w:color w:val="auto"/>
          <w:sz w:val="32"/>
          <w:szCs w:val="32"/>
          <w:highlight w:val="none"/>
        </w:rPr>
        <w:t>人次，新疆实际完成值为</w:t>
      </w:r>
      <w:r>
        <w:rPr>
          <w:rFonts w:hint="eastAsia" w:ascii="方正仿宋_GBK" w:hAnsi="方正仿宋_GBK" w:eastAsia="方正仿宋_GBK" w:cs="方正仿宋_GBK"/>
          <w:color w:val="auto"/>
          <w:sz w:val="32"/>
          <w:szCs w:val="32"/>
          <w:highlight w:val="none"/>
          <w:lang w:val="en-US" w:eastAsia="zh-CN"/>
        </w:rPr>
        <w:t>165</w:t>
      </w:r>
      <w:r>
        <w:rPr>
          <w:rFonts w:hint="eastAsia" w:ascii="方正仿宋_GBK" w:hAnsi="方正仿宋_GBK" w:eastAsia="方正仿宋_GBK" w:cs="方正仿宋_GBK"/>
          <w:color w:val="auto"/>
          <w:sz w:val="32"/>
          <w:szCs w:val="32"/>
          <w:highlight w:val="none"/>
        </w:rPr>
        <w:t>人次，完成率为</w:t>
      </w:r>
      <w:r>
        <w:rPr>
          <w:rFonts w:hint="eastAsia" w:ascii="方正仿宋_GBK" w:hAnsi="方正仿宋_GBK" w:eastAsia="方正仿宋_GBK" w:cs="方正仿宋_GBK"/>
          <w:color w:val="auto"/>
          <w:sz w:val="32"/>
          <w:szCs w:val="32"/>
          <w:highlight w:val="none"/>
          <w:lang w:val="en-US" w:eastAsia="zh-CN"/>
        </w:rPr>
        <w:t>138.66</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38.66</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偏差原因：</w:t>
      </w:r>
      <w:r>
        <w:rPr>
          <w:rFonts w:hint="default" w:ascii="方正仿宋_GBK" w:hAnsi="方正仿宋_GBK" w:eastAsia="方正仿宋_GBK" w:cs="方正仿宋_GBK"/>
          <w:color w:val="auto"/>
          <w:sz w:val="32"/>
          <w:szCs w:val="32"/>
          <w:highlight w:val="none"/>
          <w:lang w:eastAsia="zh-CN"/>
        </w:rPr>
        <w:t>由新疆高新人才运营管理有限公司承担的“‘新疆科技成果(技术)交易中心’公共服务平台的建设与推广”项目超额完成技术经纪人人培训工作。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3.下一步改进措施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highlight w:val="none"/>
          <w:lang w:val="en-US"/>
        </w:rPr>
      </w:pPr>
      <w:r>
        <w:rPr>
          <w:rFonts w:hint="eastAsia" w:ascii="方正仿宋_GBK" w:hAnsi="方正仿宋_GBK" w:eastAsia="方正仿宋_GBK" w:cs="方正仿宋_GBK"/>
          <w:color w:val="auto"/>
          <w:sz w:val="32"/>
          <w:szCs w:val="32"/>
          <w:highlight w:val="none"/>
          <w:lang w:eastAsia="zh-CN"/>
        </w:rPr>
        <w:t>（1）合理设置绩效指标数值。</w:t>
      </w:r>
      <w:r>
        <w:rPr>
          <w:rFonts w:hint="eastAsia" w:ascii="方正仿宋_GBK" w:hAnsi="方正仿宋_GBK" w:eastAsia="方正仿宋_GBK" w:cs="方正仿宋_GBK"/>
          <w:color w:val="auto"/>
          <w:sz w:val="32"/>
          <w:szCs w:val="32"/>
          <w:highlight w:val="none"/>
          <w:lang w:val="en-US" w:eastAsia="zh-CN"/>
        </w:rPr>
        <w:t>一是做好引导资金项目储备库建设，根据项目情况合理设置绩效目标表。二是</w:t>
      </w:r>
      <w:r>
        <w:rPr>
          <w:rFonts w:hint="eastAsia" w:ascii="方正仿宋_GBK" w:hAnsi="方正仿宋_GBK" w:eastAsia="方正仿宋_GBK" w:cs="方正仿宋_GBK"/>
          <w:color w:val="auto"/>
          <w:kern w:val="2"/>
          <w:sz w:val="32"/>
          <w:szCs w:val="32"/>
          <w:highlight w:val="none"/>
          <w:lang w:val="en-US" w:eastAsia="zh-CN" w:bidi="ar-SA"/>
        </w:rPr>
        <w:t>牢固树立“花钱必问效、无效必问责”的理念，建立“事前有评估、事中有监控、事后有评价”的全过程绩效评价体系，将绩效工作嵌入到项目立项、实施、验收各环节，实现全流程管理。</w:t>
      </w:r>
      <w:r>
        <w:rPr>
          <w:rFonts w:hint="eastAsia" w:ascii="方正仿宋_GBK" w:hAnsi="方正仿宋_GBK" w:eastAsia="方正仿宋_GBK" w:cs="方正仿宋_GBK"/>
          <w:color w:val="auto"/>
          <w:sz w:val="32"/>
          <w:szCs w:val="32"/>
          <w:highlight w:val="none"/>
          <w:lang w:val="en-US" w:eastAsia="zh-CN"/>
        </w:rPr>
        <w:t>三是</w:t>
      </w:r>
      <w:r>
        <w:rPr>
          <w:rFonts w:hint="eastAsia" w:ascii="方正仿宋_GBK" w:hAnsi="方正仿宋_GBK" w:eastAsia="方正仿宋_GBK" w:cs="方正仿宋_GBK"/>
          <w:color w:val="auto"/>
          <w:kern w:val="2"/>
          <w:sz w:val="32"/>
          <w:szCs w:val="32"/>
          <w:highlight w:val="none"/>
          <w:lang w:val="en-US" w:eastAsia="zh-CN" w:bidi="ar-SA"/>
        </w:rPr>
        <w:t>加强对项目的监督检查力度，做牢做实项目年度自评、中期检查、随机抽查，有效提高项目实施成效，确保项目资金使用合理、合规，对资金执行采用季度调度机制，加快资金执行进度。四是要求项目承担单位切实加强绩效管理，引导科研资源向优秀人才和团队倾斜，提高科研经费使用效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楷体" w:hAnsi="楷体" w:eastAsia="楷体" w:cs="楷体"/>
          <w:b/>
          <w:bCs/>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（2）</w:t>
      </w:r>
      <w:r>
        <w:rPr>
          <w:rFonts w:hint="eastAsia" w:ascii="Times New Roman" w:hAnsi="Times New Roman" w:eastAsia="方正仿宋_GBK" w:cs="Times New Roman"/>
          <w:sz w:val="32"/>
          <w:szCs w:val="32"/>
          <w:highlight w:val="none"/>
          <w:lang w:eastAsia="zh-CN"/>
        </w:rPr>
        <w:t>全面落实</w:t>
      </w:r>
      <w:r>
        <w:rPr>
          <w:rFonts w:hint="default" w:ascii="Times New Roman" w:hAnsi="Times New Roman" w:eastAsia="方正仿宋_GBK" w:cs="Times New Roman"/>
          <w:sz w:val="32"/>
          <w:szCs w:val="32"/>
          <w:highlight w:val="none"/>
        </w:rPr>
        <w:t>自筹资金</w:t>
      </w:r>
      <w:r>
        <w:rPr>
          <w:rFonts w:ascii="Times New Roman" w:hAnsi="Times New Roman" w:eastAsia="方正仿宋_GBK" w:cs="Times New Roman"/>
          <w:sz w:val="32"/>
          <w:szCs w:val="32"/>
          <w:highlight w:val="none"/>
        </w:rPr>
        <w:t>。下一步，引导</w:t>
      </w:r>
      <w:r>
        <w:rPr>
          <w:rFonts w:hint="default" w:ascii="Times New Roman" w:hAnsi="Times New Roman" w:eastAsia="方正仿宋_GBK" w:cs="Times New Roman"/>
          <w:sz w:val="32"/>
          <w:szCs w:val="32"/>
          <w:highlight w:val="none"/>
        </w:rPr>
        <w:t>相关单位</w:t>
      </w:r>
      <w:r>
        <w:rPr>
          <w:rFonts w:ascii="Times New Roman" w:hAnsi="Times New Roman" w:eastAsia="方正仿宋_GBK" w:cs="Times New Roman"/>
          <w:sz w:val="32"/>
          <w:szCs w:val="32"/>
          <w:highlight w:val="none"/>
        </w:rPr>
        <w:t>充分利用中央和</w:t>
      </w:r>
      <w:r>
        <w:rPr>
          <w:rFonts w:hint="default" w:ascii="Times New Roman" w:hAnsi="Times New Roman" w:eastAsia="方正仿宋_GBK" w:cs="Times New Roman"/>
          <w:sz w:val="32"/>
          <w:szCs w:val="32"/>
          <w:highlight w:val="none"/>
        </w:rPr>
        <w:t>新疆</w:t>
      </w:r>
      <w:r>
        <w:rPr>
          <w:rFonts w:ascii="Times New Roman" w:hAnsi="Times New Roman" w:eastAsia="方正仿宋_GBK" w:cs="Times New Roman"/>
          <w:sz w:val="32"/>
          <w:szCs w:val="32"/>
          <w:highlight w:val="none"/>
        </w:rPr>
        <w:t>出台的有利政策，做到会用钱、用好钱，防止</w:t>
      </w:r>
      <w:r>
        <w:rPr>
          <w:rFonts w:hint="default" w:ascii="Times New Roman" w:hAnsi="Times New Roman" w:eastAsia="方正仿宋_GBK" w:cs="Times New Roman"/>
          <w:sz w:val="32"/>
          <w:szCs w:val="32"/>
          <w:highlight w:val="none"/>
        </w:rPr>
        <w:t>财政资金滞留闲置。压实</w:t>
      </w:r>
      <w:r>
        <w:rPr>
          <w:rFonts w:ascii="Times New Roman" w:hAnsi="Times New Roman" w:eastAsia="方正仿宋_GBK" w:cs="Times New Roman"/>
          <w:sz w:val="32"/>
          <w:szCs w:val="32"/>
          <w:highlight w:val="none"/>
        </w:rPr>
        <w:t>项目承担单位</w:t>
      </w:r>
      <w:r>
        <w:rPr>
          <w:rFonts w:hint="default" w:ascii="Times New Roman" w:hAnsi="Times New Roman" w:eastAsia="方正仿宋_GBK" w:cs="Times New Roman"/>
          <w:sz w:val="32"/>
          <w:szCs w:val="32"/>
          <w:highlight w:val="none"/>
        </w:rPr>
        <w:t>主体责任，牢固树立</w:t>
      </w:r>
      <w:r>
        <w:rPr>
          <w:rFonts w:hint="eastAsia" w:ascii="方正仿宋_GBK" w:hAnsi="方正仿宋_GBK" w:eastAsia="方正仿宋_GBK" w:cs="方正仿宋_GBK"/>
          <w:color w:val="auto"/>
          <w:sz w:val="32"/>
          <w:szCs w:val="32"/>
          <w:highlight w:val="none"/>
          <w:lang w:val="en-US" w:eastAsia="zh-CN"/>
        </w:rPr>
        <w:t>过“紧日子”的思想</w:t>
      </w:r>
      <w:r>
        <w:rPr>
          <w:rFonts w:hint="default" w:ascii="Times New Roman" w:hAnsi="Times New Roman" w:eastAsia="方正仿宋_GBK" w:cs="Times New Roman"/>
          <w:sz w:val="32"/>
          <w:szCs w:val="32"/>
          <w:highlight w:val="none"/>
        </w:rPr>
        <w:t>，建立健全内部控制制度，压减无效低效开支，严格控制一般性支出。</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（二）政策执行或项目实施中存在的问题、原因分析和改进措施</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一是</w:t>
      </w:r>
      <w:r>
        <w:rPr>
          <w:rFonts w:hint="eastAsia" w:ascii="方正仿宋_GBK" w:hAnsi="方正仿宋_GBK" w:eastAsia="方正仿宋_GBK" w:cs="方正仿宋_GBK"/>
          <w:b w:val="0"/>
          <w:bCs w:val="0"/>
          <w:color w:val="auto"/>
          <w:sz w:val="32"/>
          <w:szCs w:val="32"/>
          <w:highlight w:val="none"/>
          <w:lang w:val="en-US" w:eastAsia="zh-CN"/>
        </w:rPr>
        <w:t>2024年</w:t>
      </w:r>
      <w:r>
        <w:rPr>
          <w:rFonts w:hint="eastAsia" w:ascii="方正仿宋_GBK" w:hAnsi="方正仿宋_GBK" w:eastAsia="方正仿宋_GBK" w:cs="方正仿宋_GBK"/>
          <w:color w:val="auto"/>
          <w:sz w:val="32"/>
          <w:szCs w:val="32"/>
          <w:highlight w:val="none"/>
          <w:lang w:val="en-US" w:eastAsia="zh-CN"/>
        </w:rPr>
        <w:t>引导资金在当年5月份下达，而全年绩效目标表需在1月份报送，故年度绩效目标表指标值偏差较大。</w:t>
      </w:r>
      <w:r>
        <w:rPr>
          <w:rFonts w:hint="eastAsia" w:ascii="方正仿宋_GBK" w:hAnsi="方正仿宋_GBK" w:eastAsia="方正仿宋_GBK" w:cs="方正仿宋_GBK"/>
          <w:b/>
          <w:bCs/>
          <w:color w:val="auto"/>
          <w:sz w:val="32"/>
          <w:szCs w:val="32"/>
          <w:highlight w:val="none"/>
          <w:lang w:val="en-US" w:eastAsia="zh-CN"/>
        </w:rPr>
        <w:t>二是</w:t>
      </w:r>
      <w:r>
        <w:rPr>
          <w:rFonts w:hint="eastAsia" w:ascii="方正仿宋_GBK" w:hAnsi="方正仿宋_GBK" w:eastAsia="方正仿宋_GBK" w:cs="方正仿宋_GBK"/>
          <w:color w:val="auto"/>
          <w:sz w:val="32"/>
          <w:szCs w:val="32"/>
          <w:highlight w:val="none"/>
          <w:lang w:val="en-US" w:eastAsia="zh-CN"/>
        </w:rPr>
        <w:t>2024年部分单位因政府采购周期较长，资金执行率较低。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在今后的工作中，</w:t>
      </w:r>
      <w:r>
        <w:rPr>
          <w:rFonts w:hint="eastAsia" w:ascii="方正仿宋_GBK" w:hAnsi="方正仿宋_GBK" w:eastAsia="方正仿宋_GBK" w:cs="方正仿宋_GBK"/>
          <w:b/>
          <w:bCs/>
          <w:color w:val="auto"/>
          <w:sz w:val="32"/>
          <w:szCs w:val="32"/>
          <w:highlight w:val="none"/>
          <w:lang w:val="en-US" w:eastAsia="zh-CN"/>
        </w:rPr>
        <w:t>一是</w:t>
      </w:r>
      <w:r>
        <w:rPr>
          <w:rFonts w:hint="eastAsia" w:ascii="方正仿宋_GBK" w:hAnsi="方正仿宋_GBK" w:eastAsia="方正仿宋_GBK" w:cs="方正仿宋_GBK"/>
          <w:color w:val="auto"/>
          <w:sz w:val="32"/>
          <w:szCs w:val="32"/>
          <w:highlight w:val="none"/>
          <w:lang w:val="en-US" w:eastAsia="zh-CN"/>
        </w:rPr>
        <w:t>加强项目的监督检查力度，向执行滞后的项目承担单位发函，严格按照《中央引导地方科技发展资金管理办法》相关规定，要求细化预算执行，提高引导资金及其他资金的执行率。</w:t>
      </w:r>
      <w:r>
        <w:rPr>
          <w:rFonts w:hint="eastAsia" w:ascii="方正仿宋_GBK" w:hAnsi="方正仿宋_GBK" w:eastAsia="方正仿宋_GBK" w:cs="方正仿宋_GBK"/>
          <w:b/>
          <w:bCs/>
          <w:color w:val="auto"/>
          <w:sz w:val="32"/>
          <w:szCs w:val="32"/>
          <w:highlight w:val="none"/>
          <w:lang w:val="en-US" w:eastAsia="zh-CN"/>
        </w:rPr>
        <w:t>二是</w:t>
      </w:r>
      <w:r>
        <w:rPr>
          <w:rFonts w:hint="eastAsia" w:ascii="方正仿宋_GBK" w:hAnsi="方正仿宋_GBK" w:eastAsia="方正仿宋_GBK" w:cs="方正仿宋_GBK"/>
          <w:color w:val="auto"/>
          <w:sz w:val="32"/>
          <w:szCs w:val="32"/>
          <w:highlight w:val="none"/>
          <w:lang w:val="en-US" w:eastAsia="zh-CN"/>
        </w:rPr>
        <w:t>在下一年度引导资金项目中合理设置绩效目标，预通知一月将开展绩效评价。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（一）拟应用情况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1.按照财政部《项目支出绩效评价管理办法》（财预〔2020〕10号）规定，单位自评标准是：预算执行10分、产出指标50分、效益指标30分、服务对象满意度指标10分。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经自评，202</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年度中央引导地方科技发展资金绩效自评价得分为9</w:t>
      </w: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lang w:eastAsia="zh-CN"/>
        </w:rPr>
        <w:t>分，其中：预算执行</w:t>
      </w:r>
      <w:r>
        <w:rPr>
          <w:rFonts w:hint="eastAsia" w:ascii="方正仿宋_GBK" w:hAnsi="方正仿宋_GBK" w:eastAsia="方正仿宋_GBK" w:cs="方正仿宋_GBK"/>
          <w:b w:val="0"/>
          <w:bCs w:val="0"/>
          <w:sz w:val="32"/>
          <w:szCs w:val="32"/>
          <w:highlight w:val="none"/>
          <w:lang w:val="en-US" w:eastAsia="zh-CN"/>
        </w:rPr>
        <w:t>8</w:t>
      </w:r>
      <w:r>
        <w:rPr>
          <w:rFonts w:hint="eastAsia" w:ascii="方正仿宋_GBK" w:hAnsi="方正仿宋_GBK" w:eastAsia="方正仿宋_GBK" w:cs="方正仿宋_GBK"/>
          <w:b w:val="0"/>
          <w:bCs w:val="0"/>
          <w:sz w:val="32"/>
          <w:szCs w:val="32"/>
          <w:highlight w:val="none"/>
          <w:lang w:eastAsia="zh-CN"/>
        </w:rPr>
        <w:t>分、产出指标</w:t>
      </w:r>
      <w:r>
        <w:rPr>
          <w:rFonts w:hint="eastAsia" w:ascii="方正仿宋_GBK" w:hAnsi="方正仿宋_GBK" w:eastAsia="方正仿宋_GBK" w:cs="方正仿宋_GBK"/>
          <w:b w:val="0"/>
          <w:bCs w:val="0"/>
          <w:sz w:val="32"/>
          <w:szCs w:val="32"/>
          <w:highlight w:val="none"/>
          <w:lang w:val="en-US" w:eastAsia="zh-CN"/>
        </w:rPr>
        <w:t>49</w:t>
      </w:r>
      <w:r>
        <w:rPr>
          <w:rFonts w:hint="eastAsia" w:ascii="方正仿宋_GBK" w:hAnsi="方正仿宋_GBK" w:eastAsia="方正仿宋_GBK" w:cs="方正仿宋_GBK"/>
          <w:b w:val="0"/>
          <w:bCs w:val="0"/>
          <w:sz w:val="32"/>
          <w:szCs w:val="32"/>
          <w:highlight w:val="none"/>
          <w:lang w:eastAsia="zh-CN"/>
        </w:rPr>
        <w:t>分、效益指标2</w:t>
      </w:r>
      <w:r>
        <w:rPr>
          <w:rFonts w:hint="eastAsia" w:ascii="方正仿宋_GBK" w:hAnsi="方正仿宋_GBK" w:eastAsia="方正仿宋_GBK" w:cs="方正仿宋_GBK"/>
          <w:b w:val="0"/>
          <w:bCs w:val="0"/>
          <w:sz w:val="32"/>
          <w:szCs w:val="32"/>
          <w:highlight w:val="none"/>
          <w:lang w:val="en-US" w:eastAsia="zh-CN"/>
        </w:rPr>
        <w:t>8</w:t>
      </w:r>
      <w:r>
        <w:rPr>
          <w:rFonts w:hint="eastAsia" w:ascii="方正仿宋_GBK" w:hAnsi="方正仿宋_GBK" w:eastAsia="方正仿宋_GBK" w:cs="方正仿宋_GBK"/>
          <w:b w:val="0"/>
          <w:bCs w:val="0"/>
          <w:sz w:val="32"/>
          <w:szCs w:val="32"/>
          <w:highlight w:val="none"/>
          <w:lang w:eastAsia="zh-CN"/>
        </w:rPr>
        <w:t>分、服务对象满意度指标10分，自评结果为“优”。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2.在自评价中发现20</w:t>
      </w:r>
      <w:r>
        <w:rPr>
          <w:rFonts w:hint="eastAsia" w:ascii="方正仿宋_GBK" w:hAnsi="方正仿宋_GBK" w:eastAsia="方正仿宋_GBK" w:cs="方正仿宋_GBK"/>
          <w:b w:val="0"/>
          <w:bCs w:val="0"/>
          <w:sz w:val="32"/>
          <w:szCs w:val="32"/>
          <w:highlight w:val="none"/>
          <w:lang w:val="en-US" w:eastAsia="zh-CN"/>
        </w:rPr>
        <w:t>24</w:t>
      </w:r>
      <w:r>
        <w:rPr>
          <w:rFonts w:hint="eastAsia" w:ascii="方正仿宋_GBK" w:hAnsi="方正仿宋_GBK" w:eastAsia="方正仿宋_GBK" w:cs="方正仿宋_GBK"/>
          <w:b w:val="0"/>
          <w:bCs w:val="0"/>
          <w:sz w:val="32"/>
          <w:szCs w:val="32"/>
          <w:highlight w:val="none"/>
          <w:lang w:eastAsia="zh-CN"/>
        </w:rPr>
        <w:t>年度部分中央引导地方新疆科技发展资金中资金执行率偏低，新疆科技厅将在202</w:t>
      </w: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lang w:eastAsia="zh-CN"/>
        </w:rPr>
        <w:t>年的工作中加强对项目实施进度的监督，严格绩效目标管理来有效的避免资金执行偏差等有关问题。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（二）公开情况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中央引导地方科技发展资金评价结果在新疆科技厅和新疆财政厅门户网站进行公示公开，广泛接受社会监督。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六</w:t>
      </w:r>
      <w:r>
        <w:rPr>
          <w:rFonts w:hint="eastAsia" w:ascii="方正黑体_GBK" w:hAnsi="方正黑体_GBK" w:eastAsia="方正黑体_GBK" w:cs="方正黑体_GBK"/>
          <w:sz w:val="32"/>
          <w:szCs w:val="32"/>
          <w:highlight w:val="none"/>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（一）各级审计和财会监督中未发现问题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（二）主要经验、做法和典型案例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1.北疆供水一期工程安全高效运行保障关键技术研究与应用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eastAsia="zh-CN"/>
        </w:rPr>
        <w:t>项目由</w:t>
      </w:r>
      <w:r>
        <w:rPr>
          <w:rFonts w:hint="eastAsia" w:ascii="方正仿宋_GBK" w:hAnsi="方正仿宋_GBK" w:eastAsia="方正仿宋_GBK" w:cs="方正仿宋_GBK"/>
          <w:i w:val="0"/>
          <w:caps w:val="0"/>
          <w:color w:val="auto"/>
          <w:spacing w:val="0"/>
          <w:sz w:val="32"/>
          <w:szCs w:val="32"/>
          <w:highlight w:val="none"/>
          <w:lang w:val="en-US" w:eastAsia="zh-CN"/>
        </w:rPr>
        <w:t>新疆农业大学承担实施，2024年立项，执行年限1年（到2025年5月），</w:t>
      </w:r>
      <w:r>
        <w:rPr>
          <w:rFonts w:hint="eastAsia" w:ascii="方正仿宋_GBK" w:hAnsi="方正仿宋_GBK" w:eastAsia="方正仿宋_GBK" w:cs="方正仿宋_GBK"/>
          <w:i w:val="0"/>
          <w:caps w:val="0"/>
          <w:color w:val="auto"/>
          <w:spacing w:val="0"/>
          <w:sz w:val="32"/>
          <w:szCs w:val="32"/>
          <w:highlight w:val="none"/>
          <w:lang w:eastAsia="zh-CN"/>
        </w:rPr>
        <w:t>总投入</w:t>
      </w:r>
      <w:r>
        <w:rPr>
          <w:rFonts w:hint="eastAsia" w:ascii="方正仿宋_GBK" w:hAnsi="方正仿宋_GBK" w:eastAsia="方正仿宋_GBK" w:cs="方正仿宋_GBK"/>
          <w:i w:val="0"/>
          <w:caps w:val="0"/>
          <w:color w:val="auto"/>
          <w:spacing w:val="0"/>
          <w:sz w:val="32"/>
          <w:szCs w:val="32"/>
          <w:highlight w:val="none"/>
          <w:lang w:val="en-US" w:eastAsia="zh-CN"/>
        </w:rPr>
        <w:t>300</w:t>
      </w:r>
      <w:r>
        <w:rPr>
          <w:rFonts w:hint="eastAsia" w:ascii="方正仿宋_GBK" w:hAnsi="方正仿宋_GBK" w:eastAsia="方正仿宋_GBK" w:cs="方正仿宋_GBK"/>
          <w:i w:val="0"/>
          <w:caps w:val="0"/>
          <w:color w:val="auto"/>
          <w:spacing w:val="0"/>
          <w:sz w:val="32"/>
          <w:szCs w:val="32"/>
          <w:highlight w:val="none"/>
          <w:lang w:eastAsia="zh-CN"/>
        </w:rPr>
        <w:t>万元，引导资金支持</w:t>
      </w:r>
      <w:r>
        <w:rPr>
          <w:rFonts w:hint="eastAsia" w:ascii="方正仿宋_GBK" w:hAnsi="方正仿宋_GBK" w:eastAsia="方正仿宋_GBK" w:cs="方正仿宋_GBK"/>
          <w:i w:val="0"/>
          <w:caps w:val="0"/>
          <w:color w:val="auto"/>
          <w:spacing w:val="0"/>
          <w:sz w:val="32"/>
          <w:szCs w:val="32"/>
          <w:highlight w:val="none"/>
          <w:lang w:val="en-US" w:eastAsia="zh-CN"/>
        </w:rPr>
        <w:t>300</w:t>
      </w:r>
      <w:r>
        <w:rPr>
          <w:rFonts w:hint="eastAsia" w:ascii="方正仿宋_GBK" w:hAnsi="方正仿宋_GBK" w:eastAsia="方正仿宋_GBK" w:cs="方正仿宋_GBK"/>
          <w:i w:val="0"/>
          <w:caps w:val="0"/>
          <w:color w:val="auto"/>
          <w:spacing w:val="0"/>
          <w:sz w:val="32"/>
          <w:szCs w:val="32"/>
          <w:highlight w:val="none"/>
          <w:lang w:eastAsia="zh-CN"/>
        </w:rPr>
        <w:t>万元，</w:t>
      </w:r>
      <w:r>
        <w:rPr>
          <w:rFonts w:hint="eastAsia" w:ascii="方正仿宋_GBK" w:hAnsi="方正仿宋_GBK" w:eastAsia="方正仿宋_GBK" w:cs="方正仿宋_GBK"/>
          <w:i w:val="0"/>
          <w:caps w:val="0"/>
          <w:color w:val="auto"/>
          <w:spacing w:val="0"/>
          <w:sz w:val="32"/>
          <w:szCs w:val="32"/>
          <w:highlight w:val="none"/>
          <w:lang w:val="en-US" w:eastAsia="zh-CN"/>
        </w:rPr>
        <w:t>2024</w:t>
      </w:r>
      <w:r>
        <w:rPr>
          <w:rFonts w:hint="eastAsia" w:ascii="方正仿宋_GBK" w:hAnsi="方正仿宋_GBK" w:eastAsia="方正仿宋_GBK" w:cs="方正仿宋_GBK"/>
          <w:i w:val="0"/>
          <w:caps w:val="0"/>
          <w:color w:val="auto"/>
          <w:spacing w:val="0"/>
          <w:sz w:val="32"/>
          <w:szCs w:val="32"/>
          <w:highlight w:val="none"/>
          <w:lang w:eastAsia="zh-CN"/>
        </w:rPr>
        <w:t>年下达</w:t>
      </w:r>
      <w:r>
        <w:rPr>
          <w:rFonts w:hint="eastAsia" w:ascii="方正仿宋_GBK" w:hAnsi="方正仿宋_GBK" w:eastAsia="方正仿宋_GBK" w:cs="方正仿宋_GBK"/>
          <w:i w:val="0"/>
          <w:caps w:val="0"/>
          <w:color w:val="auto"/>
          <w:spacing w:val="0"/>
          <w:sz w:val="32"/>
          <w:szCs w:val="32"/>
          <w:highlight w:val="none"/>
          <w:lang w:val="en-US" w:eastAsia="zh-CN"/>
        </w:rPr>
        <w:t>300</w:t>
      </w:r>
      <w:r>
        <w:rPr>
          <w:rFonts w:hint="eastAsia" w:ascii="方正仿宋_GBK" w:hAnsi="方正仿宋_GBK" w:eastAsia="方正仿宋_GBK" w:cs="方正仿宋_GBK"/>
          <w:i w:val="0"/>
          <w:caps w:val="0"/>
          <w:color w:val="auto"/>
          <w:spacing w:val="0"/>
          <w:sz w:val="32"/>
          <w:szCs w:val="32"/>
          <w:highlight w:val="none"/>
          <w:lang w:eastAsia="zh-CN"/>
        </w:rPr>
        <w:t>万元，资金执行率</w:t>
      </w:r>
      <w:r>
        <w:rPr>
          <w:rFonts w:hint="eastAsia" w:ascii="方正仿宋_GBK" w:hAnsi="方正仿宋_GBK" w:eastAsia="方正仿宋_GBK" w:cs="方正仿宋_GBK"/>
          <w:i w:val="0"/>
          <w:caps w:val="0"/>
          <w:color w:val="auto"/>
          <w:spacing w:val="0"/>
          <w:sz w:val="32"/>
          <w:szCs w:val="32"/>
          <w:highlight w:val="none"/>
          <w:lang w:val="en-US" w:eastAsia="zh-CN"/>
        </w:rPr>
        <w:t>75%。</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该项目北疆供水一期工程是我国目前在严寒荒漠地区建成的最大跨流域调水工程，是天山北坡经济带重要的战略性水源保障工程。针对膨胀土渠坡多次滑动破坏等现象，严重制约输水效率等问题，拟提出三种工程处理措施：①排水抗滑管桩及装配式明渠快速施工技术：主要开展排水抗滑管桩防控技术体系及装配式明渠施工关键技术研究；②装配式箱涵输水整体施工技术：主要开展装配式箱涵构件连接受力机理及设计方法研究；③有压输水管道水力瞬变效应与防控机理研究：主要开展管道瞬态水力效应特性及安全防控优化研究。针对如何保障工程安全高效运行的关键技术问题开展科技攻关，提出合理的关键技术措施，为输水工程的病害治理提供决策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预期产生成果：（1）建立排水抗滑管桩+横纵排水系统的渠坡综合防护结构技术体系1套；（2）形成寒旱区装配式箱涵施工关键技术体系1套；（3）提出有压管道安全防控关键技术体系1套；（4）形成北疆调水工程维修建议方案1套；（5）申请发明专利2项；（6）培养硕士研究生4-5名；（7）培养技术人员10-15名；（8）发表国内外核心论文5篇以上，其中SCI/EI检索1-3篇；（9）参加与本项目研究内容有关的国内外学术会议2-3次；（10）提交科技咨询报告1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2.新疆基地浅埋煤层多重复杂介质地下水突水防治关键技术及应用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该项目由新疆工程学院承担实施，2024年立项，执行年限2年（到2025年5月），总投入1340万元，引导资金支持280万元，2024年下达200万元，资金执行率100%。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项目针对新疆基地浅埋煤层开采老空水、烧变岩水、基岩水等多重复杂介质水突水风险高、控制难度大的难题，本项目开展新疆基地浅埋煤层采动岩体结构-渗流演化及多重复杂介质水致灾机制、多重复杂介质地下水水害多元监测与评价预警技术、多重复杂介质地下水水害防控关键技术及工程示范的研究，突破“浅埋煤层多重复杂介质地下水突水致灾机理”关键科学问题，攻克“地下水水害多元监测与评价预警技术”、“多重复杂介质地下水水害防控技术”两项关键技术，并在库车县科兴煤炭实业有限责任公司榆树泉矿建成地下水突水防治科技创新基地，为多重复杂介质地下水水害防治提供科学指导，为新疆基地矿井安全生产保驾护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预期产生成果：（1）研发新疆基地典型矿区矿井水害综合治理相关技术3个，建成示范矿井1个；（2）发表高水平论文12篇，受理或授权发明专利9件；（3）带动社会投入与引导资金投入1060 万元；（4）培训从事技术创新服务人员30人次，提供技术咨询/技术服务数量20人次；（5）培养新疆基地典型矿区矿井水害综合治理基 4 础理论研究方面的理论与技术骨干不低于15人，培养相关基础理论开发创新团队1个、现场技术创新团队1个；（6）培养相关方向研究生12人；（7）编制项目报告1份。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eastAsia="zh-CN"/>
        </w:rPr>
      </w:pPr>
      <w:r>
        <w:rPr>
          <w:rFonts w:hint="eastAsia" w:ascii="方正仿宋_GBK" w:hAnsi="方正仿宋_GBK" w:eastAsia="方正仿宋_GBK" w:cs="方正仿宋_GBK"/>
          <w:i w:val="0"/>
          <w:caps w:val="0"/>
          <w:color w:val="auto"/>
          <w:spacing w:val="0"/>
          <w:sz w:val="32"/>
          <w:szCs w:val="32"/>
          <w:highlight w:val="none"/>
          <w:lang w:val="en-US" w:eastAsia="zh-CN"/>
        </w:rPr>
        <w:t>3.</w:t>
      </w:r>
      <w:r>
        <w:rPr>
          <w:rFonts w:hint="eastAsia" w:ascii="方正仿宋_GBK" w:hAnsi="方正仿宋_GBK" w:eastAsia="方正仿宋_GBK" w:cs="方正仿宋_GBK"/>
          <w:i w:val="0"/>
          <w:caps w:val="0"/>
          <w:color w:val="auto"/>
          <w:spacing w:val="0"/>
          <w:sz w:val="32"/>
          <w:szCs w:val="32"/>
          <w:highlight w:val="none"/>
          <w:lang w:eastAsia="zh-CN"/>
        </w:rPr>
        <w:t>“新疆科技成果(技术)交易中心”公共服务平台的建设与推广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该项目由</w:t>
      </w:r>
      <w:r>
        <w:rPr>
          <w:rFonts w:hint="eastAsia" w:ascii="方正仿宋_GBK" w:hAnsi="方正仿宋_GBK" w:eastAsia="方正仿宋_GBK" w:cs="方正仿宋_GBK"/>
          <w:i w:val="0"/>
          <w:caps w:val="0"/>
          <w:color w:val="auto"/>
          <w:spacing w:val="0"/>
          <w:sz w:val="32"/>
          <w:szCs w:val="32"/>
          <w:highlight w:val="none"/>
          <w:lang w:eastAsia="zh-CN"/>
        </w:rPr>
        <w:t>新疆高新人才运营管理有限公司</w:t>
      </w:r>
      <w:r>
        <w:rPr>
          <w:rFonts w:hint="eastAsia" w:ascii="方正仿宋_GBK" w:hAnsi="方正仿宋_GBK" w:eastAsia="方正仿宋_GBK" w:cs="方正仿宋_GBK"/>
          <w:i w:val="0"/>
          <w:caps w:val="0"/>
          <w:color w:val="auto"/>
          <w:spacing w:val="0"/>
          <w:sz w:val="32"/>
          <w:szCs w:val="32"/>
          <w:highlight w:val="none"/>
          <w:lang w:val="en-US" w:eastAsia="zh-CN"/>
        </w:rPr>
        <w:t>承担实施，2024年立项，执行年限1年（到2025年5月），总投入1410万元，引导资金支持470万元，后补助支持。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新疆科技成果（技术）交易中心”公共服务平台的建设与推广项目按照政府主导、市场化驱动的原则，围绕新疆技术交易网创新平台建设，构建“1+6”创新服务体系，搭建“1+4+N”技术转移协作网络构架，将科技成果展示、技术交易服务、知识产权服务、科技项目孵化、科技人才培养、科技金融服务、国际合作交流等服务整合为一体，持续聚集一批市场化、专业化、国际化技术转移服务机构，加快培育一支懂政策、能实战、擅转化的技术转移专业队伍，探索打造一套功能完备、流程规范、环境良好的技术转移生态系统，搭建一座政产学研金服用协同创新、相互渗透、共享共赢的桥梁，促进人才、技术和成果加速落地转化，推动重点产业升级，致力成为立足新疆、服务全国、连通中亚的技术转移创新枢纽，积极探索建设具有全国影响力的科技成果（技术）交易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预期产生成果：打造新疆科技成果（技术）交易中心展厅1个；搭建信息化创新平台1个，建设创新发展驾驶舱、新疆产业链图谱、新疆产业分析、技术交易大屏、创新资源分布以及产业分析报告等6大模块；搭建平台数据库包括成果数据库、专家数据库、政策数据库以及企业数据库4大数据库，筛选成果入库1000项、筛选行业专家入库500人，匹配政策数据1000条，收录企业数据50万家；制定5项中心服务流程、28项中心规章制度、行业服务标准1项等；聘请技术专家不少于50人、技术经纪人不少于80人；引入合作机构不少于15家、合作疆内疆外科研院所不少于5家、协同其他技术转移服务中心合作不少于10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eastAsia="zh-CN"/>
        </w:rPr>
      </w:pPr>
      <w:r>
        <w:rPr>
          <w:rFonts w:hint="eastAsia" w:ascii="方正仿宋_GBK" w:hAnsi="方正仿宋_GBK" w:eastAsia="方正仿宋_GBK" w:cs="方正仿宋_GBK"/>
          <w:i w:val="0"/>
          <w:caps w:val="0"/>
          <w:color w:val="auto"/>
          <w:spacing w:val="0"/>
          <w:sz w:val="32"/>
          <w:szCs w:val="32"/>
          <w:highlight w:val="none"/>
          <w:lang w:val="en-US" w:eastAsia="zh-CN"/>
        </w:rPr>
        <w:t>4.</w:t>
      </w:r>
      <w:r>
        <w:rPr>
          <w:rFonts w:hint="eastAsia" w:ascii="方正仿宋_GBK" w:hAnsi="方正仿宋_GBK" w:eastAsia="方正仿宋_GBK" w:cs="方正仿宋_GBK"/>
          <w:i w:val="0"/>
          <w:caps w:val="0"/>
          <w:color w:val="auto"/>
          <w:spacing w:val="0"/>
          <w:sz w:val="32"/>
          <w:szCs w:val="32"/>
          <w:highlight w:val="none"/>
          <w:lang w:eastAsia="zh-CN"/>
        </w:rPr>
        <w:t>废弃生物质衍生功能化碳基材料对高盐工业废水深度处理研究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该项目由</w:t>
      </w:r>
      <w:r>
        <w:rPr>
          <w:rFonts w:hint="eastAsia" w:ascii="方正仿宋_GBK" w:hAnsi="方正仿宋_GBK" w:eastAsia="方正仿宋_GBK" w:cs="方正仿宋_GBK"/>
          <w:i w:val="0"/>
          <w:caps w:val="0"/>
          <w:color w:val="auto"/>
          <w:spacing w:val="0"/>
          <w:sz w:val="32"/>
          <w:szCs w:val="32"/>
          <w:highlight w:val="none"/>
          <w:lang w:eastAsia="zh-CN"/>
        </w:rPr>
        <w:t>新疆大学</w:t>
      </w:r>
      <w:r>
        <w:rPr>
          <w:rFonts w:hint="eastAsia" w:ascii="方正仿宋_GBK" w:hAnsi="方正仿宋_GBK" w:eastAsia="方正仿宋_GBK" w:cs="方正仿宋_GBK"/>
          <w:i w:val="0"/>
          <w:caps w:val="0"/>
          <w:color w:val="auto"/>
          <w:spacing w:val="0"/>
          <w:sz w:val="32"/>
          <w:szCs w:val="32"/>
          <w:highlight w:val="none"/>
          <w:lang w:val="en-US" w:eastAsia="zh-CN"/>
        </w:rPr>
        <w:t>承担实施，2024年立项，执行年限1年（到2025年6月），总投入40万元，引导资金支持40万元，2024年下达40万元，资金执行率100%。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eastAsia="zh-CN"/>
        </w:rPr>
      </w:pPr>
      <w:r>
        <w:rPr>
          <w:rFonts w:hint="eastAsia" w:ascii="方正仿宋_GBK" w:hAnsi="方正仿宋_GBK" w:eastAsia="方正仿宋_GBK" w:cs="方正仿宋_GBK"/>
          <w:i w:val="0"/>
          <w:caps w:val="0"/>
          <w:color w:val="auto"/>
          <w:spacing w:val="0"/>
          <w:sz w:val="32"/>
          <w:szCs w:val="32"/>
          <w:highlight w:val="none"/>
          <w:lang w:eastAsia="zh-CN"/>
        </w:rPr>
        <w:t>项目以高盐有机工业废水为研究对象，拟开发废弃生物质衍生功能化碳基材料，构建盐分离子与有机污染物同步处理光催化体系，实现高盐有机工业废水的高效深度处理。系统分析不同来源、不同方法制备的废弃生物质碳基材料的理化特性变化规律，探究其表面性质、孔道结构以及活性物种的可控调变方法，揭示催化材料理化特性与催化行为之间的构效关系。通过多功能催化作用分析、反应路径解析、理论模型论证及实际运行规律分析，探究有机污染物的吸附、分离及光催化作用机制，解析功能化碳基材料调控表面电荷分布密度及其除盐调控机制，建立高盐有机工业废水深度处理的完整工艺路线，为推进工业化实际应用奠定理论基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highlight w:val="none"/>
          <w:lang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预期产生成果：</w:t>
      </w:r>
      <w:r>
        <w:rPr>
          <w:rFonts w:hint="eastAsia" w:ascii="方正仿宋_GBK" w:hAnsi="方正仿宋_GBK" w:eastAsia="方正仿宋_GBK" w:cs="方正仿宋_GBK"/>
          <w:i w:val="0"/>
          <w:caps w:val="0"/>
          <w:color w:val="auto"/>
          <w:spacing w:val="0"/>
          <w:sz w:val="32"/>
          <w:szCs w:val="32"/>
          <w:highlight w:val="none"/>
          <w:lang w:eastAsia="zh-CN"/>
        </w:rPr>
        <w:t>（1）开发废弃生物质衍生功能化碳基新材料；（2）形成高盐有机工业废水深度处理新技术；（3）阐明废弃生物质衍生功能化碳基材料对于高盐有机工业废水深度处理的关键机制；（4）发表高水平研究论文1~2篇，授权发明专利1~2项，培养研究生2~3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附</w:t>
      </w:r>
      <w:r>
        <w:rPr>
          <w:rFonts w:hint="eastAsia" w:ascii="仿宋" w:hAnsi="仿宋" w:eastAsia="仿宋" w:cs="仿宋"/>
          <w:sz w:val="32"/>
          <w:szCs w:val="32"/>
          <w:highlight w:val="none"/>
          <w:lang w:eastAsia="zh-CN"/>
        </w:rPr>
        <w:t>件</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中央引导地方科技发展资金区域</w:t>
      </w:r>
      <w:r>
        <w:rPr>
          <w:rFonts w:hint="eastAsia" w:ascii="仿宋" w:hAnsi="仿宋" w:eastAsia="仿宋" w:cs="仿宋"/>
          <w:sz w:val="32"/>
          <w:szCs w:val="32"/>
          <w:highlight w:val="none"/>
        </w:rPr>
        <w:t>绩效目标自评表</w:t>
      </w:r>
    </w:p>
    <w:p>
      <w:pPr>
        <w:rPr>
          <w:rFonts w:hint="eastAsia" w:ascii="Times New Roman" w:hAnsi="Times New Roman" w:eastAsia="方正小标宋简体" w:cs="Times New Roman"/>
          <w:b/>
          <w:bCs/>
          <w:color w:val="000000"/>
          <w:sz w:val="28"/>
          <w:szCs w:val="28"/>
          <w:highlight w:val="none"/>
          <w:lang w:eastAsia="zh-CN"/>
        </w:rPr>
      </w:pPr>
      <w:r>
        <w:rPr>
          <w:rFonts w:hint="eastAsia" w:ascii="Times New Roman" w:hAnsi="Times New Roman" w:eastAsia="方正小标宋简体" w:cs="Times New Roman"/>
          <w:b/>
          <w:bCs/>
          <w:color w:val="000000"/>
          <w:sz w:val="28"/>
          <w:szCs w:val="28"/>
          <w:highlight w:val="none"/>
          <w:lang w:eastAsia="zh-CN"/>
        </w:rPr>
        <w:br w:type="page"/>
      </w:r>
    </w:p>
    <w:p>
      <w:pPr>
        <w:keepNext w:val="0"/>
        <w:keepLines w:val="0"/>
        <w:pageBreakBefore w:val="0"/>
        <w:kinsoku/>
        <w:wordWrap/>
        <w:overflowPunct/>
        <w:topLinePunct w:val="0"/>
        <w:autoSpaceDE/>
        <w:autoSpaceDN/>
        <w:bidi w:val="0"/>
        <w:spacing w:line="560" w:lineRule="exact"/>
        <w:ind w:left="0"/>
        <w:jc w:val="both"/>
        <w:textAlignment w:val="auto"/>
        <w:rPr>
          <w:rFonts w:hint="default" w:ascii="黑体" w:hAnsi="黑体" w:eastAsia="黑体" w:cs="黑体"/>
          <w:b w:val="0"/>
          <w:bCs w:val="0"/>
          <w:color w:val="000000"/>
          <w:sz w:val="28"/>
          <w:szCs w:val="28"/>
          <w:highlight w:val="none"/>
          <w:lang w:val="en-US" w:eastAsia="zh-CN"/>
        </w:rPr>
      </w:pPr>
      <w:r>
        <w:rPr>
          <w:rFonts w:hint="eastAsia" w:ascii="黑体" w:hAnsi="黑体" w:eastAsia="黑体" w:cs="黑体"/>
          <w:b w:val="0"/>
          <w:bCs w:val="0"/>
          <w:color w:val="000000"/>
          <w:sz w:val="28"/>
          <w:szCs w:val="28"/>
          <w:highlight w:val="none"/>
          <w:lang w:val="en" w:eastAsia="zh-CN"/>
        </w:rPr>
        <w:t>附件</w:t>
      </w: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方正小标宋简体" w:cs="Times New Roman"/>
          <w:b/>
          <w:bCs/>
          <w:color w:val="000000"/>
          <w:sz w:val="28"/>
          <w:szCs w:val="28"/>
          <w:highlight w:val="none"/>
          <w:lang w:val="en-US" w:eastAsia="zh-CN"/>
        </w:rPr>
      </w:pPr>
    </w:p>
    <w:p>
      <w:pPr>
        <w:keepNext w:val="0"/>
        <w:keepLines w:val="0"/>
        <w:pageBreakBefore w:val="0"/>
        <w:kinsoku/>
        <w:wordWrap/>
        <w:overflowPunct/>
        <w:topLinePunct w:val="0"/>
        <w:autoSpaceDE/>
        <w:autoSpaceDN/>
        <w:bidi w:val="0"/>
        <w:spacing w:line="560" w:lineRule="exact"/>
        <w:ind w:left="0"/>
        <w:jc w:val="center"/>
        <w:textAlignment w:val="auto"/>
        <w:rPr>
          <w:rFonts w:hint="default" w:ascii="Times New Roman" w:hAnsi="Times New Roman" w:eastAsia="方正小标宋简体" w:cs="Times New Roman"/>
          <w:b/>
          <w:bCs/>
          <w:sz w:val="28"/>
          <w:szCs w:val="28"/>
          <w:highlight w:val="none"/>
        </w:rPr>
      </w:pPr>
      <w:r>
        <w:rPr>
          <w:rFonts w:hint="default" w:ascii="Times New Roman" w:hAnsi="Times New Roman" w:eastAsia="方正小标宋简体" w:cs="Times New Roman"/>
          <w:b/>
          <w:bCs/>
          <w:color w:val="000000"/>
          <w:sz w:val="28"/>
          <w:szCs w:val="28"/>
          <w:highlight w:val="none"/>
          <w:lang w:eastAsia="zh-CN"/>
        </w:rPr>
        <w:t>中央引导地方科技发展资金</w:t>
      </w:r>
      <w:r>
        <w:rPr>
          <w:rFonts w:hint="eastAsia" w:ascii="Times New Roman" w:hAnsi="Times New Roman" w:eastAsia="方正小标宋简体" w:cs="Times New Roman"/>
          <w:b/>
          <w:bCs/>
          <w:color w:val="000000"/>
          <w:sz w:val="28"/>
          <w:szCs w:val="28"/>
          <w:highlight w:val="none"/>
          <w:lang w:eastAsia="zh-CN"/>
        </w:rPr>
        <w:t>区域</w:t>
      </w:r>
      <w:r>
        <w:rPr>
          <w:rFonts w:hint="default" w:ascii="Times New Roman" w:hAnsi="Times New Roman" w:eastAsia="方正小标宋简体" w:cs="Times New Roman"/>
          <w:b/>
          <w:bCs/>
          <w:color w:val="000000"/>
          <w:sz w:val="28"/>
          <w:szCs w:val="28"/>
          <w:highlight w:val="none"/>
        </w:rPr>
        <w:t>绩效目标自评表</w:t>
      </w:r>
    </w:p>
    <w:p>
      <w:pPr>
        <w:keepNext w:val="0"/>
        <w:keepLines w:val="0"/>
        <w:pageBreakBefore w:val="0"/>
        <w:kinsoku/>
        <w:wordWrap/>
        <w:overflowPunct/>
        <w:topLinePunct w:val="0"/>
        <w:autoSpaceDE/>
        <w:autoSpaceDN/>
        <w:bidi w:val="0"/>
        <w:spacing w:line="560" w:lineRule="exact"/>
        <w:ind w:left="0"/>
        <w:jc w:val="center"/>
        <w:textAlignment w:val="auto"/>
        <w:rPr>
          <w:rFonts w:hint="default" w:ascii="Times New Roman" w:hAnsi="Times New Roman" w:cs="Times New Roman"/>
          <w:highlight w:val="none"/>
        </w:rPr>
      </w:pPr>
      <w:r>
        <w:rPr>
          <w:rFonts w:hint="default" w:ascii="Times New Roman" w:hAnsi="Times New Roman" w:eastAsia="楷体_GB2312" w:cs="Times New Roman"/>
          <w:b/>
          <w:bCs/>
          <w:color w:val="000000"/>
          <w:sz w:val="18"/>
          <w:highlight w:val="none"/>
        </w:rPr>
        <w:t>（2</w:t>
      </w:r>
      <w:r>
        <w:rPr>
          <w:rFonts w:hint="eastAsia" w:ascii="Times New Roman" w:hAnsi="Times New Roman" w:eastAsia="楷体_GB2312" w:cs="Times New Roman"/>
          <w:b/>
          <w:bCs/>
          <w:color w:val="000000"/>
          <w:sz w:val="18"/>
          <w:highlight w:val="none"/>
          <w:lang w:val="en-US" w:eastAsia="zh-CN"/>
        </w:rPr>
        <w:t>024</w:t>
      </w:r>
      <w:r>
        <w:rPr>
          <w:rFonts w:hint="default" w:ascii="Times New Roman" w:hAnsi="Times New Roman" w:eastAsia="楷体_GB2312" w:cs="Times New Roman"/>
          <w:b/>
          <w:bCs/>
          <w:color w:val="000000"/>
          <w:sz w:val="18"/>
          <w:highlight w:val="none"/>
        </w:rPr>
        <w:t>年度）</w:t>
      </w:r>
    </w:p>
    <w:tbl>
      <w:tblPr>
        <w:tblStyle w:val="9"/>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7"/>
        <w:gridCol w:w="535"/>
        <w:gridCol w:w="765"/>
        <w:gridCol w:w="1580"/>
        <w:gridCol w:w="1464"/>
        <w:gridCol w:w="858"/>
        <w:gridCol w:w="858"/>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项目名称</w:t>
            </w:r>
          </w:p>
        </w:tc>
        <w:tc>
          <w:tcPr>
            <w:tcW w:w="6822" w:type="dxa"/>
            <w:gridSpan w:val="5"/>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eastAsia="zh-CN"/>
              </w:rPr>
            </w:pPr>
            <w:r>
              <w:rPr>
                <w:rFonts w:hint="default" w:ascii="Times New Roman" w:hAnsi="Times New Roman" w:cs="Times New Roman"/>
                <w:color w:val="000000"/>
                <w:sz w:val="15"/>
                <w:szCs w:val="15"/>
                <w:highlight w:val="none"/>
                <w:lang w:eastAsia="zh-CN"/>
              </w:rPr>
              <w:t>中央引导地方科技发展资金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中央主管部门</w:t>
            </w:r>
          </w:p>
        </w:tc>
        <w:tc>
          <w:tcPr>
            <w:tcW w:w="6822" w:type="dxa"/>
            <w:gridSpan w:val="5"/>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eastAsia="zh-CN"/>
              </w:rPr>
            </w:pPr>
            <w:r>
              <w:rPr>
                <w:rFonts w:hint="default" w:ascii="Times New Roman" w:hAnsi="Times New Roman" w:cs="Times New Roman"/>
                <w:color w:val="000000"/>
                <w:sz w:val="15"/>
                <w:szCs w:val="15"/>
                <w:highlight w:val="none"/>
                <w:lang w:eastAsia="zh-CN"/>
              </w:rPr>
              <w:t>财政部、科技部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eastAsia" w:ascii="Times New Roman" w:hAnsi="Times New Roman" w:cs="Times New Roman"/>
                <w:color w:val="000000"/>
                <w:sz w:val="15"/>
                <w:szCs w:val="15"/>
                <w:highlight w:val="none"/>
                <w:lang w:eastAsia="zh-CN"/>
              </w:rPr>
              <w:t>地方主管部门</w:t>
            </w:r>
          </w:p>
        </w:tc>
        <w:tc>
          <w:tcPr>
            <w:tcW w:w="6822" w:type="dxa"/>
            <w:gridSpan w:val="5"/>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eastAsia" w:ascii="Times New Roman" w:hAnsi="Times New Roman" w:eastAsia="宋体"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新疆维吾尔自治区财政厅、科技厅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资金情况</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（万元）</w:t>
            </w:r>
          </w:p>
        </w:tc>
        <w:tc>
          <w:tcPr>
            <w:tcW w:w="158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line="180" w:lineRule="exact"/>
              <w:ind w:left="0" w:firstLine="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全年预算数（A）</w:t>
            </w:r>
          </w:p>
        </w:tc>
        <w:tc>
          <w:tcPr>
            <w:tcW w:w="1716"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全年执行数（B）</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158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firstLine="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年度资金总额：</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cs="Times New Roman"/>
                <w:color w:val="000000"/>
                <w:sz w:val="15"/>
                <w:szCs w:val="15"/>
                <w:highlight w:val="none"/>
                <w:lang w:val="en-US" w:eastAsia="zh-CN"/>
              </w:rPr>
              <w:t>11087</w:t>
            </w:r>
          </w:p>
        </w:tc>
        <w:tc>
          <w:tcPr>
            <w:tcW w:w="1716"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8314.25</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158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其中：中央财政资金</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cs="Times New Roman"/>
                <w:color w:val="000000"/>
                <w:sz w:val="15"/>
                <w:szCs w:val="15"/>
                <w:highlight w:val="none"/>
                <w:lang w:val="en-US" w:eastAsia="zh-CN"/>
              </w:rPr>
              <w:t>11087</w:t>
            </w:r>
          </w:p>
        </w:tc>
        <w:tc>
          <w:tcPr>
            <w:tcW w:w="1716"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leftChars="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8314.25</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leftChars="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158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eastAsia" w:ascii="Times New Roman" w:hAnsi="Times New Roman" w:cs="Times New Roman"/>
                <w:color w:val="000000"/>
                <w:sz w:val="15"/>
                <w:szCs w:val="15"/>
                <w:highlight w:val="none"/>
                <w:lang w:val="en-US" w:eastAsia="zh-CN"/>
              </w:rPr>
              <w:t xml:space="preserve">   </w:t>
            </w:r>
            <w:r>
              <w:rPr>
                <w:rFonts w:hint="default" w:ascii="Times New Roman" w:hAnsi="Times New Roman" w:eastAsia="宋体" w:cs="Times New Roman"/>
                <w:color w:val="000000"/>
                <w:sz w:val="15"/>
                <w:szCs w:val="15"/>
                <w:highlight w:val="none"/>
              </w:rPr>
              <w:t>地方资金</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c>
          <w:tcPr>
            <w:tcW w:w="1716"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2047"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1580"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eastAsia" w:ascii="Times New Roman" w:hAnsi="Times New Roman" w:cs="Times New Roman"/>
                <w:color w:val="000000"/>
                <w:sz w:val="15"/>
                <w:szCs w:val="15"/>
                <w:highlight w:val="none"/>
                <w:lang w:val="en-US" w:eastAsia="zh-CN"/>
              </w:rPr>
              <w:t xml:space="preserve">   </w:t>
            </w:r>
            <w:r>
              <w:rPr>
                <w:rFonts w:hint="default" w:ascii="Times New Roman" w:hAnsi="Times New Roman" w:eastAsia="宋体" w:cs="Times New Roman"/>
                <w:color w:val="000000"/>
                <w:sz w:val="15"/>
                <w:szCs w:val="15"/>
                <w:highlight w:val="none"/>
              </w:rPr>
              <w:t>其他资金</w:t>
            </w:r>
          </w:p>
        </w:tc>
        <w:tc>
          <w:tcPr>
            <w:tcW w:w="1464" w:type="dxa"/>
            <w:noWrap w:val="0"/>
            <w:vAlign w:val="center"/>
          </w:tcPr>
          <w:p>
            <w:pPr>
              <w:keepNext w:val="0"/>
              <w:keepLines w:val="0"/>
              <w:pageBreakBefore w:val="0"/>
              <w:kinsoku/>
              <w:wordWrap/>
              <w:overflowPunct/>
              <w:topLinePunct w:val="0"/>
              <w:autoSpaceDE/>
              <w:autoSpaceDN/>
              <w:bidi w:val="0"/>
              <w:adjustRightInd/>
              <w:snapToGrid/>
              <w:spacing w:line="180" w:lineRule="exact"/>
              <w:ind w:left="0" w:firstLine="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c>
          <w:tcPr>
            <w:tcW w:w="1716"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总体</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eastAsia="宋体"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目标</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完成</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情况</w:t>
            </w:r>
          </w:p>
        </w:tc>
        <w:tc>
          <w:tcPr>
            <w:tcW w:w="4344" w:type="dxa"/>
            <w:gridSpan w:val="4"/>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总体目标</w:t>
            </w:r>
          </w:p>
        </w:tc>
        <w:tc>
          <w:tcPr>
            <w:tcW w:w="3778" w:type="dxa"/>
            <w:gridSpan w:val="3"/>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6"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4344" w:type="dxa"/>
            <w:gridSpan w:val="4"/>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2024年度，新疆贯彻中央科技发展规划部署，落实国家创新驱动发展战略和科技改革发展政策，结合新疆科技工作实际，围绕“八大产业集群”及水资源高效利用、生物医药、生态环保、社会治理等重大科技需求，以科技促进产业链创新链深度融合为重点，加快关键核心技术攻关，支持区域科技创新体系建设、科技创新基地建设、科技成果转移转化、自由探索类基础研究等四个方面项目。</w:t>
            </w:r>
          </w:p>
        </w:tc>
        <w:tc>
          <w:tcPr>
            <w:tcW w:w="3778" w:type="dxa"/>
            <w:gridSpan w:val="3"/>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2024年度，新疆紧跟中央科技发展规划部署，落实国家创新驱动发展战略和科技改革发展政策，结合新疆科技工作实际，围绕“十大产业集群”及水资源高效利用、生物医药、生态环保、社会治理等重大科技需求，以科技促进产业链创新链深度融合为重点，加快关键核心技术攻关，支持区域科技创新体系建设、科技创新基地建设、科技成果转移转化、自由探索类基础研究等四个方面的项目。目前，2024年度中央引导地方科技发展专项项目均能按照实施方案确定的目标任务、内容、预算安排认真执行，基本完成了实施方案下达时的年度绩效目标。项目总体进展顺利，已取得了较好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绩</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效</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指</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标</w:t>
            </w:r>
          </w:p>
        </w:tc>
        <w:tc>
          <w:tcPr>
            <w:tcW w:w="53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一级</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指标</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二级指标</w:t>
            </w:r>
          </w:p>
        </w:tc>
        <w:tc>
          <w:tcPr>
            <w:tcW w:w="3044"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三级指标</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指标值</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全年实际完</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成值</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产</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出</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指</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eastAsia="宋体"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标</w:t>
            </w:r>
          </w:p>
        </w:tc>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eastAsia" w:ascii="Times New Roman" w:hAnsi="Times New Roman" w:eastAsia="宋体" w:cs="Times New Roman"/>
                <w:color w:val="000000"/>
                <w:sz w:val="15"/>
                <w:szCs w:val="15"/>
                <w:highlight w:val="none"/>
                <w:lang w:eastAsia="zh-CN"/>
              </w:rPr>
            </w:pPr>
            <w:r>
              <w:rPr>
                <w:rFonts w:hint="eastAsia" w:ascii="Times New Roman" w:hAnsi="Times New Roman" w:cs="Times New Roman"/>
                <w:color w:val="000000"/>
                <w:sz w:val="15"/>
                <w:szCs w:val="15"/>
                <w:highlight w:val="none"/>
                <w:lang w:eastAsia="zh-CN"/>
              </w:rPr>
              <w:t>数量指标</w:t>
            </w: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支持建设科技创新基地项目数量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eastAsia="zh-CN"/>
              </w:rPr>
            </w:pPr>
            <w:r>
              <w:rPr>
                <w:rFonts w:hint="default" w:ascii="宋体" w:hAnsi="宋体" w:cs="宋体"/>
                <w:i w:val="0"/>
                <w:color w:val="000000"/>
                <w:sz w:val="15"/>
                <w:szCs w:val="15"/>
                <w:highlight w:val="none"/>
                <w:u w:val="none"/>
                <w:lang w:eastAsia="zh-CN"/>
              </w:rPr>
              <w:t>39</w:t>
            </w:r>
            <w:r>
              <w:rPr>
                <w:rFonts w:hint="eastAsia" w:ascii="宋体" w:hAnsi="宋体" w:eastAsia="宋体" w:cs="宋体"/>
                <w:i w:val="0"/>
                <w:color w:val="000000"/>
                <w:sz w:val="15"/>
                <w:szCs w:val="15"/>
                <w:highlight w:val="none"/>
                <w:u w:val="none"/>
                <w:lang w:val="en-US" w:eastAsia="zh-CN"/>
              </w:rPr>
              <w:t>个</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39</w:t>
            </w:r>
            <w:r>
              <w:rPr>
                <w:rFonts w:hint="eastAsia" w:ascii="宋体" w:hAnsi="宋体" w:eastAsia="宋体" w:cs="宋体"/>
                <w:i w:val="0"/>
                <w:color w:val="000000"/>
                <w:sz w:val="15"/>
                <w:szCs w:val="15"/>
                <w:highlight w:val="none"/>
                <w:u w:val="none"/>
                <w:lang w:val="en-US" w:eastAsia="zh-CN"/>
              </w:rPr>
              <w:t>个</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eastAsia" w:ascii="Times New Roman" w:hAnsi="Times New Roman" w:eastAsia="宋体" w:cs="Times New Roman"/>
                <w:color w:val="00000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tcBorders>
              <w:bottom w:val="nil"/>
            </w:tcBorders>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转化科技成果数量</w:t>
            </w:r>
          </w:p>
        </w:tc>
        <w:tc>
          <w:tcPr>
            <w:tcW w:w="858" w:type="dxa"/>
            <w:tcBorders>
              <w:bottom w:val="nil"/>
            </w:tcBorders>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eastAsia="zh-CN"/>
              </w:rPr>
            </w:pPr>
            <w:r>
              <w:rPr>
                <w:rFonts w:hint="default" w:ascii="宋体" w:hAnsi="宋体" w:cs="宋体"/>
                <w:i w:val="0"/>
                <w:color w:val="000000"/>
                <w:sz w:val="15"/>
                <w:szCs w:val="15"/>
                <w:highlight w:val="none"/>
                <w:u w:val="none"/>
                <w:lang w:eastAsia="zh-CN"/>
              </w:rPr>
              <w:t>163</w:t>
            </w:r>
            <w:r>
              <w:rPr>
                <w:rFonts w:hint="eastAsia" w:ascii="宋体" w:hAnsi="宋体" w:eastAsia="宋体" w:cs="宋体"/>
                <w:i w:val="0"/>
                <w:color w:val="000000"/>
                <w:sz w:val="15"/>
                <w:szCs w:val="15"/>
                <w:highlight w:val="none"/>
                <w:u w:val="none"/>
                <w:lang w:val="en-US" w:eastAsia="zh-CN"/>
              </w:rPr>
              <w:t>项</w:t>
            </w:r>
          </w:p>
        </w:tc>
        <w:tc>
          <w:tcPr>
            <w:tcW w:w="858" w:type="dxa"/>
            <w:tcBorders>
              <w:bottom w:val="nil"/>
            </w:tcBorders>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1</w:t>
            </w:r>
            <w:r>
              <w:rPr>
                <w:rFonts w:hint="default" w:ascii="宋体" w:hAnsi="宋体" w:cs="宋体"/>
                <w:i w:val="0"/>
                <w:color w:val="000000"/>
                <w:sz w:val="15"/>
                <w:szCs w:val="15"/>
                <w:highlight w:val="none"/>
                <w:u w:val="none"/>
                <w:lang w:eastAsia="zh-CN"/>
              </w:rPr>
              <w:t>22</w:t>
            </w:r>
            <w:r>
              <w:rPr>
                <w:rFonts w:hint="eastAsia" w:ascii="宋体" w:hAnsi="宋体" w:eastAsia="宋体" w:cs="宋体"/>
                <w:i w:val="0"/>
                <w:color w:val="000000"/>
                <w:sz w:val="15"/>
                <w:szCs w:val="15"/>
                <w:highlight w:val="none"/>
                <w:u w:val="none"/>
                <w:lang w:val="en-US" w:eastAsia="zh-CN"/>
              </w:rPr>
              <w:t>项</w:t>
            </w:r>
          </w:p>
        </w:tc>
        <w:tc>
          <w:tcPr>
            <w:tcW w:w="2062"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Style w:val="10"/>
                <w:rFonts w:hint="default" w:ascii="Times New Roman" w:hAnsi="Times New Roman" w:eastAsia="宋体" w:cs="Times New Roman"/>
                <w:i w:val="0"/>
                <w:color w:val="000000"/>
                <w:sz w:val="15"/>
                <w:szCs w:val="15"/>
                <w:highlight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支持区域创新载体项目数量</w:t>
            </w:r>
          </w:p>
        </w:tc>
        <w:tc>
          <w:tcPr>
            <w:tcW w:w="858"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5</w:t>
            </w:r>
            <w:r>
              <w:rPr>
                <w:rFonts w:hint="eastAsia" w:ascii="宋体" w:hAnsi="宋体" w:eastAsia="宋体" w:cs="宋体"/>
                <w:i w:val="0"/>
                <w:color w:val="000000"/>
                <w:sz w:val="15"/>
                <w:szCs w:val="15"/>
                <w:highlight w:val="none"/>
                <w:u w:val="none"/>
                <w:lang w:val="en-US" w:eastAsia="zh-CN"/>
              </w:rPr>
              <w:t>个</w:t>
            </w:r>
          </w:p>
        </w:tc>
        <w:tc>
          <w:tcPr>
            <w:tcW w:w="858"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5</w:t>
            </w:r>
            <w:r>
              <w:rPr>
                <w:rFonts w:hint="eastAsia" w:ascii="宋体" w:hAnsi="宋体" w:eastAsia="宋体" w:cs="宋体"/>
                <w:i w:val="0"/>
                <w:color w:val="000000"/>
                <w:sz w:val="15"/>
                <w:szCs w:val="15"/>
                <w:highlight w:val="none"/>
                <w:u w:val="none"/>
                <w:lang w:val="en-US" w:eastAsia="zh-CN"/>
              </w:rPr>
              <w:t>个</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支持东西部科技合作及区域协同创新项目数量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eastAsia="zh-CN"/>
              </w:rPr>
            </w:pPr>
            <w:r>
              <w:rPr>
                <w:rFonts w:hint="default" w:ascii="宋体" w:hAnsi="宋体" w:cs="宋体"/>
                <w:i w:val="0"/>
                <w:color w:val="000000"/>
                <w:sz w:val="15"/>
                <w:szCs w:val="15"/>
                <w:highlight w:val="none"/>
                <w:u w:val="none"/>
                <w:lang w:eastAsia="zh-CN"/>
              </w:rPr>
              <w:t>6</w:t>
            </w:r>
            <w:r>
              <w:rPr>
                <w:rFonts w:hint="eastAsia" w:ascii="宋体" w:hAnsi="宋体" w:eastAsia="宋体" w:cs="宋体"/>
                <w:i w:val="0"/>
                <w:color w:val="000000"/>
                <w:sz w:val="15"/>
                <w:szCs w:val="15"/>
                <w:highlight w:val="none"/>
                <w:u w:val="none"/>
                <w:lang w:val="en-US" w:eastAsia="zh-CN"/>
              </w:rPr>
              <w:t>个</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11</w:t>
            </w:r>
            <w:r>
              <w:rPr>
                <w:rFonts w:hint="eastAsia" w:ascii="宋体" w:hAnsi="宋体" w:eastAsia="宋体" w:cs="宋体"/>
                <w:i w:val="0"/>
                <w:color w:val="000000"/>
                <w:sz w:val="15"/>
                <w:szCs w:val="15"/>
                <w:highlight w:val="none"/>
                <w:u w:val="none"/>
                <w:lang w:val="en-US" w:eastAsia="zh-CN"/>
              </w:rPr>
              <w:t>个</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时效指标</w:t>
            </w:r>
          </w:p>
        </w:tc>
        <w:tc>
          <w:tcPr>
            <w:tcW w:w="3044" w:type="dxa"/>
            <w:gridSpan w:val="2"/>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eastAsia="zh-CN"/>
              </w:rPr>
            </w:pPr>
            <w:r>
              <w:rPr>
                <w:rFonts w:hint="default" w:ascii="Times New Roman" w:hAnsi="Times New Roman" w:cs="Times New Roman"/>
                <w:color w:val="000000"/>
                <w:sz w:val="15"/>
                <w:szCs w:val="15"/>
                <w:highlight w:val="none"/>
                <w:lang w:eastAsia="zh-CN"/>
              </w:rPr>
              <w:t>资金拨付及时率</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cs="Times New Roman"/>
                <w:color w:val="000000"/>
                <w:sz w:val="15"/>
                <w:szCs w:val="15"/>
                <w:highlight w:val="none"/>
                <w:lang w:eastAsia="zh-CN"/>
              </w:rPr>
              <w:t>90</w:t>
            </w:r>
            <w:r>
              <w:rPr>
                <w:rFonts w:hint="default" w:ascii="Times New Roman" w:hAnsi="Times New Roman" w:cs="Times New Roman"/>
                <w:color w:val="000000"/>
                <w:sz w:val="15"/>
                <w:szCs w:val="15"/>
                <w:highlight w:val="none"/>
                <w:lang w:val="en-US" w:eastAsia="zh-CN"/>
              </w:rPr>
              <w:t>%</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val="en-US" w:eastAsia="zh-CN"/>
              </w:rPr>
            </w:pPr>
            <w:r>
              <w:rPr>
                <w:rFonts w:hint="default" w:ascii="Times New Roman" w:hAnsi="Times New Roman" w:cs="Times New Roman"/>
                <w:color w:val="000000"/>
                <w:sz w:val="15"/>
                <w:szCs w:val="15"/>
                <w:highlight w:val="none"/>
                <w:lang w:eastAsia="zh-CN"/>
              </w:rPr>
              <w:t>100</w:t>
            </w:r>
            <w:r>
              <w:rPr>
                <w:rFonts w:hint="default" w:ascii="Times New Roman" w:hAnsi="Times New Roman" w:cs="Times New Roman"/>
                <w:color w:val="000000"/>
                <w:sz w:val="15"/>
                <w:szCs w:val="15"/>
                <w:highlight w:val="none"/>
                <w:lang w:val="en-US" w:eastAsia="zh-CN"/>
              </w:rPr>
              <w:t>%</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eastAsia="宋体" w:cs="Times New Roman"/>
                <w:color w:val="00000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效</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益</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指</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标</w:t>
            </w:r>
          </w:p>
        </w:tc>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eastAsia="宋体" w:cs="Times New Roman"/>
                <w:color w:val="000000"/>
                <w:sz w:val="15"/>
                <w:szCs w:val="15"/>
                <w:highlight w:val="none"/>
              </w:rPr>
            </w:pPr>
            <w:r>
              <w:rPr>
                <w:rFonts w:hint="default" w:ascii="Times New Roman" w:hAnsi="Times New Roman" w:eastAsia="宋体" w:cs="Times New Roman"/>
                <w:color w:val="000000"/>
                <w:sz w:val="15"/>
                <w:szCs w:val="15"/>
                <w:highlight w:val="none"/>
              </w:rPr>
              <w:t>经济效益</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指标</w:t>
            </w: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带动社会投入与引导资金投入比例</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rPr>
            </w:pPr>
            <w:r>
              <w:rPr>
                <w:rFonts w:hint="default" w:ascii="宋体" w:hAnsi="宋体" w:cs="宋体"/>
                <w:i w:val="0"/>
                <w:color w:val="000000"/>
                <w:sz w:val="15"/>
                <w:szCs w:val="15"/>
                <w:highlight w:val="none"/>
                <w:u w:val="none"/>
              </w:rPr>
              <w:t>≥2</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rPr>
            </w:pPr>
            <w:r>
              <w:rPr>
                <w:rFonts w:hint="default" w:ascii="宋体" w:hAnsi="宋体" w:cs="宋体"/>
                <w:i w:val="0"/>
                <w:color w:val="000000"/>
                <w:sz w:val="15"/>
                <w:szCs w:val="15"/>
                <w:highlight w:val="none"/>
                <w:u w:val="none"/>
              </w:rPr>
              <w:t>2.65</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tcBorders>
              <w:bottom w:val="nil"/>
            </w:tcBorders>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促进科技投融资金额</w:t>
            </w:r>
          </w:p>
        </w:tc>
        <w:tc>
          <w:tcPr>
            <w:tcW w:w="858" w:type="dxa"/>
            <w:tcBorders>
              <w:bottom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3000</w:t>
            </w:r>
            <w:r>
              <w:rPr>
                <w:rFonts w:hint="eastAsia" w:ascii="宋体" w:hAnsi="宋体" w:eastAsia="宋体" w:cs="宋体"/>
                <w:i w:val="0"/>
                <w:color w:val="000000"/>
                <w:sz w:val="15"/>
                <w:szCs w:val="15"/>
                <w:highlight w:val="none"/>
                <w:u w:val="none"/>
                <w:lang w:val="en-US" w:eastAsia="zh-CN"/>
              </w:rPr>
              <w:t>万元</w:t>
            </w:r>
          </w:p>
        </w:tc>
        <w:tc>
          <w:tcPr>
            <w:tcW w:w="858" w:type="dxa"/>
            <w:tcBorders>
              <w:bottom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5567.05</w:t>
            </w:r>
            <w:r>
              <w:rPr>
                <w:rFonts w:hint="eastAsia" w:ascii="宋体" w:hAnsi="宋体" w:eastAsia="宋体" w:cs="宋体"/>
                <w:i w:val="0"/>
                <w:color w:val="000000"/>
                <w:sz w:val="15"/>
                <w:szCs w:val="15"/>
                <w:highlight w:val="none"/>
                <w:u w:val="none"/>
                <w:lang w:val="en-US" w:eastAsia="zh-CN"/>
              </w:rPr>
              <w:t>万元</w:t>
            </w:r>
          </w:p>
        </w:tc>
        <w:tc>
          <w:tcPr>
            <w:tcW w:w="2062"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支持高新技术企业数量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rPr>
            </w:pPr>
            <w:r>
              <w:rPr>
                <w:rFonts w:hint="default" w:ascii="宋体" w:hAnsi="宋体" w:cs="宋体"/>
                <w:i w:val="0"/>
                <w:color w:val="000000"/>
                <w:sz w:val="15"/>
                <w:szCs w:val="15"/>
                <w:highlight w:val="none"/>
                <w:u w:val="none"/>
                <w:lang w:eastAsia="zh-CN"/>
              </w:rPr>
              <w:t>23</w:t>
            </w:r>
            <w:r>
              <w:rPr>
                <w:rFonts w:hint="eastAsia" w:ascii="宋体" w:hAnsi="宋体" w:eastAsia="宋体" w:cs="宋体"/>
                <w:i w:val="0"/>
                <w:color w:val="000000"/>
                <w:sz w:val="15"/>
                <w:szCs w:val="15"/>
                <w:highlight w:val="none"/>
                <w:u w:val="none"/>
                <w:lang w:val="en-US" w:eastAsia="zh-CN"/>
              </w:rPr>
              <w:t>家</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45</w:t>
            </w:r>
            <w:r>
              <w:rPr>
                <w:rFonts w:hint="eastAsia" w:ascii="宋体" w:hAnsi="宋体" w:eastAsia="宋体" w:cs="宋体"/>
                <w:i w:val="0"/>
                <w:color w:val="000000"/>
                <w:sz w:val="15"/>
                <w:szCs w:val="15"/>
                <w:highlight w:val="none"/>
                <w:u w:val="none"/>
                <w:lang w:val="en-US" w:eastAsia="zh-CN"/>
              </w:rPr>
              <w:t>家</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支持科技型中小企业数量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30</w:t>
            </w:r>
            <w:r>
              <w:rPr>
                <w:rFonts w:hint="eastAsia" w:ascii="宋体" w:hAnsi="宋体" w:eastAsia="宋体" w:cs="宋体"/>
                <w:i w:val="0"/>
                <w:color w:val="000000"/>
                <w:sz w:val="15"/>
                <w:szCs w:val="15"/>
                <w:highlight w:val="none"/>
                <w:u w:val="none"/>
                <w:lang w:val="en-US" w:eastAsia="zh-CN"/>
              </w:rPr>
              <w:t>家</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119</w:t>
            </w:r>
            <w:r>
              <w:rPr>
                <w:rFonts w:hint="eastAsia" w:ascii="宋体" w:hAnsi="宋体" w:eastAsia="宋体" w:cs="宋体"/>
                <w:i w:val="0"/>
                <w:color w:val="000000"/>
                <w:sz w:val="15"/>
                <w:szCs w:val="15"/>
                <w:highlight w:val="none"/>
                <w:u w:val="none"/>
                <w:lang w:val="en-US" w:eastAsia="zh-CN"/>
              </w:rPr>
              <w:t>家</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促进技术合同成交额</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3143</w:t>
            </w:r>
            <w:r>
              <w:rPr>
                <w:rFonts w:hint="eastAsia" w:ascii="宋体" w:hAnsi="宋体" w:eastAsia="宋体" w:cs="宋体"/>
                <w:i w:val="0"/>
                <w:color w:val="000000"/>
                <w:sz w:val="15"/>
                <w:szCs w:val="15"/>
                <w:highlight w:val="none"/>
                <w:u w:val="none"/>
                <w:lang w:val="en-US" w:eastAsia="zh-CN"/>
              </w:rPr>
              <w:t>万元</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8868.04</w:t>
            </w:r>
            <w:r>
              <w:rPr>
                <w:rFonts w:hint="eastAsia" w:ascii="宋体" w:hAnsi="宋体" w:eastAsia="宋体" w:cs="宋体"/>
                <w:i w:val="0"/>
                <w:color w:val="000000"/>
                <w:sz w:val="15"/>
                <w:szCs w:val="15"/>
                <w:highlight w:val="none"/>
                <w:u w:val="none"/>
                <w:lang w:val="en-US" w:eastAsia="zh-CN"/>
              </w:rPr>
              <w:t>万元</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spacing w:line="180" w:lineRule="exact"/>
              <w:jc w:val="both"/>
              <w:textAlignment w:val="auto"/>
              <w:rPr>
                <w:rFonts w:hint="default" w:ascii="Times New Roman" w:hAnsi="Times New Roman" w:eastAsia="宋体" w:cs="Times New Roman"/>
                <w:i w:val="0"/>
                <w:color w:val="000000"/>
                <w:sz w:val="15"/>
                <w:szCs w:val="15"/>
                <w:highlight w:val="none"/>
                <w:u w:val="none"/>
                <w:lang w:val="en-US" w:eastAsia="zh-CN"/>
              </w:rPr>
            </w:pPr>
            <w:r>
              <w:rPr>
                <w:rFonts w:hint="default" w:ascii="Times New Roman" w:hAnsi="Times New Roman" w:eastAsia="宋体" w:cs="Times New Roman"/>
                <w:i w:val="0"/>
                <w:iCs w:val="0"/>
                <w:color w:val="000000"/>
                <w:kern w:val="0"/>
                <w:sz w:val="15"/>
                <w:szCs w:val="15"/>
                <w:highlight w:val="none"/>
                <w:u w:val="none"/>
                <w:lang w:val="en-US" w:eastAsia="zh-CN" w:bidi="ar"/>
              </w:rPr>
              <w:t>带动地方投入东西科技合作及区域协同创新资金</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1419</w:t>
            </w:r>
            <w:r>
              <w:rPr>
                <w:rFonts w:hint="eastAsia" w:ascii="宋体" w:hAnsi="宋体" w:eastAsia="宋体" w:cs="宋体"/>
                <w:i w:val="0"/>
                <w:color w:val="000000"/>
                <w:sz w:val="15"/>
                <w:szCs w:val="15"/>
                <w:highlight w:val="none"/>
                <w:u w:val="none"/>
                <w:lang w:val="en-US" w:eastAsia="zh-CN"/>
              </w:rPr>
              <w:t>万元</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eastAsia" w:ascii="宋体" w:hAnsi="宋体" w:eastAsia="宋体" w:cs="宋体"/>
                <w:i w:val="0"/>
                <w:color w:val="000000"/>
                <w:sz w:val="15"/>
                <w:szCs w:val="15"/>
                <w:highlight w:val="none"/>
                <w:u w:val="none"/>
                <w:lang w:val="en-US" w:eastAsia="zh-CN"/>
              </w:rPr>
              <w:t>2172万元</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社会效益</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指标</w:t>
            </w:r>
          </w:p>
        </w:tc>
        <w:tc>
          <w:tcPr>
            <w:tcW w:w="3044" w:type="dxa"/>
            <w:gridSpan w:val="2"/>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eastAsia" w:ascii="宋体" w:hAnsi="宋体" w:eastAsia="宋体" w:cs="宋体"/>
                <w:i w:val="0"/>
                <w:color w:val="000000"/>
                <w:sz w:val="15"/>
                <w:szCs w:val="15"/>
                <w:highlight w:val="none"/>
                <w:u w:val="none"/>
                <w:lang w:val="en-US" w:eastAsia="zh-CN"/>
              </w:rPr>
              <w:t>区域科技创新能力</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eastAsia="zh-CN"/>
              </w:rPr>
            </w:pPr>
            <w:r>
              <w:rPr>
                <w:rFonts w:hint="default" w:ascii="宋体" w:hAnsi="宋体" w:cs="宋体"/>
                <w:i w:val="0"/>
                <w:color w:val="000000"/>
                <w:sz w:val="15"/>
                <w:szCs w:val="15"/>
                <w:highlight w:val="none"/>
                <w:u w:val="none"/>
                <w:lang w:eastAsia="zh-CN"/>
              </w:rPr>
              <w:t>稳步提升</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eastAsia="zh-CN"/>
              </w:rPr>
            </w:pPr>
            <w:r>
              <w:rPr>
                <w:rFonts w:hint="default" w:ascii="宋体" w:hAnsi="宋体" w:cs="宋体"/>
                <w:i w:val="0"/>
                <w:color w:val="000000"/>
                <w:sz w:val="15"/>
                <w:szCs w:val="15"/>
                <w:highlight w:val="none"/>
                <w:u w:val="none"/>
                <w:lang w:eastAsia="zh-CN"/>
              </w:rPr>
              <w:t>稳步提升</w:t>
            </w:r>
          </w:p>
        </w:tc>
        <w:tc>
          <w:tcPr>
            <w:tcW w:w="2062" w:type="dxa"/>
            <w:noWrap w:val="0"/>
            <w:vAlign w:val="center"/>
          </w:tcPr>
          <w:p>
            <w:pPr>
              <w:keepNext w:val="0"/>
              <w:keepLines w:val="0"/>
              <w:widowControl/>
              <w:suppressLineNumbers w:val="0"/>
              <w:jc w:val="both"/>
              <w:textAlignment w:val="center"/>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eastAsia="宋体" w:cs="Times New Roman"/>
                <w:color w:val="000000"/>
                <w:sz w:val="15"/>
                <w:szCs w:val="15"/>
                <w:highlight w:val="none"/>
              </w:rPr>
            </w:pPr>
          </w:p>
        </w:tc>
        <w:tc>
          <w:tcPr>
            <w:tcW w:w="3044" w:type="dxa"/>
            <w:gridSpan w:val="2"/>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eastAsia" w:ascii="宋体" w:hAnsi="宋体" w:eastAsia="宋体" w:cs="宋体"/>
                <w:i w:val="0"/>
                <w:color w:val="000000"/>
                <w:sz w:val="15"/>
                <w:szCs w:val="15"/>
                <w:highlight w:val="none"/>
                <w:u w:val="none"/>
                <w:lang w:val="en-US" w:eastAsia="zh-CN"/>
              </w:rPr>
              <w:t>培训从事技术创新服务人员数量</w:t>
            </w:r>
          </w:p>
        </w:tc>
        <w:tc>
          <w:tcPr>
            <w:tcW w:w="858"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4906</w:t>
            </w:r>
            <w:r>
              <w:rPr>
                <w:rFonts w:hint="eastAsia" w:ascii="宋体" w:hAnsi="宋体" w:eastAsia="宋体" w:cs="宋体"/>
                <w:i w:val="0"/>
                <w:color w:val="000000"/>
                <w:sz w:val="15"/>
                <w:szCs w:val="15"/>
                <w:highlight w:val="none"/>
                <w:u w:val="none"/>
                <w:lang w:val="en-US" w:eastAsia="zh-CN"/>
              </w:rPr>
              <w:t>人次</w:t>
            </w:r>
          </w:p>
        </w:tc>
        <w:tc>
          <w:tcPr>
            <w:tcW w:w="858"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4203</w:t>
            </w:r>
            <w:r>
              <w:rPr>
                <w:rFonts w:hint="eastAsia" w:ascii="宋体" w:hAnsi="宋体" w:eastAsia="宋体" w:cs="宋体"/>
                <w:i w:val="0"/>
                <w:color w:val="000000"/>
                <w:sz w:val="15"/>
                <w:szCs w:val="15"/>
                <w:highlight w:val="none"/>
                <w:u w:val="none"/>
                <w:lang w:val="en-US" w:eastAsia="zh-CN"/>
              </w:rPr>
              <w:t>人次</w:t>
            </w:r>
          </w:p>
        </w:tc>
        <w:tc>
          <w:tcPr>
            <w:tcW w:w="2062" w:type="dxa"/>
            <w:noWrap w:val="0"/>
            <w:vAlign w:val="center"/>
          </w:tcPr>
          <w:p>
            <w:pPr>
              <w:keepNext w:val="0"/>
              <w:keepLines w:val="0"/>
              <w:widowControl/>
              <w:suppressLineNumbers w:val="0"/>
              <w:jc w:val="both"/>
              <w:textAlignment w:val="center"/>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eastAsia" w:ascii="宋体" w:hAnsi="宋体" w:eastAsia="宋体" w:cs="宋体"/>
                <w:i w:val="0"/>
                <w:color w:val="000000"/>
                <w:sz w:val="15"/>
                <w:szCs w:val="15"/>
                <w:highlight w:val="none"/>
                <w:u w:val="none"/>
                <w:lang w:val="en-US" w:eastAsia="zh-CN"/>
              </w:rPr>
              <w:t>提供技术咨询/技术服务数量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4017</w:t>
            </w:r>
            <w:r>
              <w:rPr>
                <w:rFonts w:hint="eastAsia" w:ascii="宋体" w:hAnsi="宋体" w:eastAsia="宋体" w:cs="宋体"/>
                <w:i w:val="0"/>
                <w:color w:val="000000"/>
                <w:sz w:val="15"/>
                <w:szCs w:val="15"/>
                <w:highlight w:val="none"/>
                <w:u w:val="none"/>
                <w:lang w:val="en-US" w:eastAsia="zh-CN"/>
              </w:rPr>
              <w:t>人次</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9573</w:t>
            </w:r>
            <w:r>
              <w:rPr>
                <w:rFonts w:hint="eastAsia" w:ascii="宋体" w:hAnsi="宋体" w:eastAsia="宋体" w:cs="宋体"/>
                <w:i w:val="0"/>
                <w:color w:val="000000"/>
                <w:sz w:val="15"/>
                <w:szCs w:val="15"/>
                <w:highlight w:val="none"/>
                <w:u w:val="none"/>
                <w:lang w:val="en-US" w:eastAsia="zh-CN"/>
              </w:rPr>
              <w:t>人次</w:t>
            </w:r>
          </w:p>
        </w:tc>
        <w:tc>
          <w:tcPr>
            <w:tcW w:w="2062" w:type="dxa"/>
            <w:noWrap w:val="0"/>
            <w:vAlign w:val="center"/>
          </w:tcPr>
          <w:p>
            <w:pPr>
              <w:keepNext w:val="0"/>
              <w:keepLines w:val="0"/>
              <w:widowControl/>
              <w:suppressLineNumbers w:val="0"/>
              <w:jc w:val="both"/>
              <w:textAlignment w:val="center"/>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bidi="ar"/>
              </w:rPr>
              <w:t>科技帮扶支撑乡村振兴项目数量</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4</w:t>
            </w:r>
            <w:r>
              <w:rPr>
                <w:rFonts w:hint="eastAsia" w:ascii="宋体" w:hAnsi="宋体" w:eastAsia="宋体" w:cs="宋体"/>
                <w:i w:val="0"/>
                <w:color w:val="000000"/>
                <w:sz w:val="15"/>
                <w:szCs w:val="15"/>
                <w:highlight w:val="none"/>
                <w:u w:val="none"/>
                <w:lang w:val="en-US" w:eastAsia="zh-CN"/>
              </w:rPr>
              <w:t>个</w:t>
            </w:r>
          </w:p>
        </w:tc>
        <w:tc>
          <w:tcPr>
            <w:tcW w:w="858" w:type="dxa"/>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5</w:t>
            </w:r>
            <w:r>
              <w:rPr>
                <w:rFonts w:hint="eastAsia" w:ascii="宋体" w:hAnsi="宋体" w:eastAsia="宋体" w:cs="宋体"/>
                <w:i w:val="0"/>
                <w:color w:val="000000"/>
                <w:sz w:val="15"/>
                <w:szCs w:val="15"/>
                <w:highlight w:val="none"/>
                <w:u w:val="none"/>
                <w:lang w:val="en-US" w:eastAsia="zh-CN"/>
              </w:rPr>
              <w:t>个</w:t>
            </w:r>
          </w:p>
        </w:tc>
        <w:tc>
          <w:tcPr>
            <w:tcW w:w="2062" w:type="dxa"/>
            <w:noWrap w:val="0"/>
            <w:vAlign w:val="center"/>
          </w:tcPr>
          <w:p>
            <w:pPr>
              <w:keepNext w:val="0"/>
              <w:keepLines w:val="0"/>
              <w:widowControl/>
              <w:suppressLineNumbers w:val="0"/>
              <w:jc w:val="both"/>
              <w:textAlignment w:val="center"/>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p>
        </w:tc>
        <w:tc>
          <w:tcPr>
            <w:tcW w:w="3044" w:type="dxa"/>
            <w:gridSpan w:val="2"/>
            <w:tcBorders>
              <w:bottom w:val="nil"/>
            </w:tcBorders>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eastAsia" w:ascii="宋体" w:hAnsi="宋体" w:eastAsia="宋体" w:cs="宋体"/>
                <w:i w:val="0"/>
                <w:color w:val="000000"/>
                <w:sz w:val="15"/>
                <w:szCs w:val="15"/>
                <w:highlight w:val="none"/>
                <w:u w:val="none"/>
                <w:lang w:val="en-US" w:eastAsia="zh-CN"/>
              </w:rPr>
              <w:t>培训技术经纪人数量</w:t>
            </w:r>
          </w:p>
        </w:tc>
        <w:tc>
          <w:tcPr>
            <w:tcW w:w="858" w:type="dxa"/>
            <w:tcBorders>
              <w:bottom w:val="nil"/>
            </w:tcBorders>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119</w:t>
            </w:r>
            <w:r>
              <w:rPr>
                <w:rFonts w:hint="eastAsia" w:ascii="宋体" w:hAnsi="宋体" w:eastAsia="宋体" w:cs="宋体"/>
                <w:i w:val="0"/>
                <w:color w:val="000000"/>
                <w:sz w:val="15"/>
                <w:szCs w:val="15"/>
                <w:highlight w:val="none"/>
                <w:u w:val="none"/>
                <w:lang w:val="en-US" w:eastAsia="zh-CN"/>
              </w:rPr>
              <w:t>人次</w:t>
            </w:r>
          </w:p>
        </w:tc>
        <w:tc>
          <w:tcPr>
            <w:tcW w:w="858" w:type="dxa"/>
            <w:tcBorders>
              <w:bottom w:val="nil"/>
            </w:tcBorders>
            <w:noWrap w:val="0"/>
            <w:vAlign w:val="center"/>
          </w:tcPr>
          <w:p>
            <w:pPr>
              <w:keepNext w:val="0"/>
              <w:keepLines w:val="0"/>
              <w:widowControl/>
              <w:suppressLineNumbers w:val="0"/>
              <w:jc w:val="both"/>
              <w:textAlignment w:val="center"/>
              <w:rPr>
                <w:rFonts w:hint="default" w:ascii="宋体" w:hAnsi="宋体" w:eastAsia="宋体" w:cs="宋体"/>
                <w:i w:val="0"/>
                <w:color w:val="000000"/>
                <w:sz w:val="15"/>
                <w:szCs w:val="15"/>
                <w:highlight w:val="none"/>
                <w:u w:val="none"/>
                <w:lang w:val="en-US" w:eastAsia="zh-CN"/>
              </w:rPr>
            </w:pPr>
            <w:r>
              <w:rPr>
                <w:rFonts w:hint="default" w:ascii="宋体" w:hAnsi="宋体" w:cs="宋体"/>
                <w:i w:val="0"/>
                <w:color w:val="000000"/>
                <w:sz w:val="15"/>
                <w:szCs w:val="15"/>
                <w:highlight w:val="none"/>
                <w:u w:val="none"/>
                <w:lang w:eastAsia="zh-CN"/>
              </w:rPr>
              <w:t>808</w:t>
            </w:r>
            <w:bookmarkStart w:id="0" w:name="_GoBack"/>
            <w:bookmarkEnd w:id="0"/>
            <w:r>
              <w:rPr>
                <w:rFonts w:hint="eastAsia" w:ascii="宋体" w:hAnsi="宋体" w:eastAsia="宋体" w:cs="宋体"/>
                <w:i w:val="0"/>
                <w:color w:val="000000"/>
                <w:sz w:val="15"/>
                <w:szCs w:val="15"/>
                <w:highlight w:val="none"/>
                <w:u w:val="none"/>
                <w:lang w:val="en-US" w:eastAsia="zh-CN"/>
              </w:rPr>
              <w:t>人次</w:t>
            </w:r>
          </w:p>
        </w:tc>
        <w:tc>
          <w:tcPr>
            <w:tcW w:w="2062" w:type="dxa"/>
            <w:tcBorders>
              <w:bottom w:val="nil"/>
            </w:tcBorders>
            <w:noWrap w:val="0"/>
            <w:vAlign w:val="center"/>
          </w:tcPr>
          <w:p>
            <w:pPr>
              <w:keepNext w:val="0"/>
              <w:keepLines w:val="0"/>
              <w:widowControl/>
              <w:suppressLineNumbers w:val="0"/>
              <w:jc w:val="both"/>
              <w:textAlignment w:val="center"/>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6" w:hRule="exac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c>
          <w:tcPr>
            <w:tcW w:w="53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满意</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度指</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标</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服务对象</w:t>
            </w:r>
          </w:p>
          <w:p>
            <w:pPr>
              <w:keepNext w:val="0"/>
              <w:keepLines w:val="0"/>
              <w:pageBreakBefore w:val="0"/>
              <w:widowControl w:val="0"/>
              <w:kinsoku/>
              <w:wordWrap/>
              <w:overflowPunct/>
              <w:topLinePunct w:val="0"/>
              <w:autoSpaceDE/>
              <w:autoSpaceDN/>
              <w:bidi w:val="0"/>
              <w:adjustRightInd/>
              <w:snapToGrid/>
              <w:spacing w:line="180" w:lineRule="exact"/>
              <w:ind w:left="0"/>
              <w:jc w:val="both"/>
              <w:textAlignment w:val="auto"/>
              <w:outlineLvl w:val="9"/>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满意度指标</w:t>
            </w:r>
          </w:p>
        </w:tc>
        <w:tc>
          <w:tcPr>
            <w:tcW w:w="304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jc w:val="both"/>
              <w:textAlignment w:val="center"/>
              <w:outlineLvl w:val="9"/>
              <w:rPr>
                <w:rFonts w:hint="default" w:ascii="Times New Roman" w:hAnsi="Times New Roman" w:cs="Times New Roman"/>
                <w:color w:val="000000"/>
                <w:sz w:val="15"/>
                <w:szCs w:val="15"/>
                <w:highlight w:val="none"/>
              </w:rPr>
            </w:pPr>
            <w:r>
              <w:rPr>
                <w:rStyle w:val="12"/>
                <w:rFonts w:hint="default" w:ascii="Times New Roman" w:hAnsi="Times New Roman" w:eastAsia="宋体" w:cs="Times New Roman"/>
                <w:color w:val="000000"/>
                <w:sz w:val="15"/>
                <w:szCs w:val="15"/>
                <w:highlight w:val="none"/>
                <w:lang w:val="en-US" w:eastAsia="zh-CN" w:bidi="ar"/>
              </w:rPr>
              <w:t>被服务对象满意度</w:t>
            </w:r>
          </w:p>
        </w:tc>
        <w:tc>
          <w:tcPr>
            <w:tcW w:w="8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jc w:val="both"/>
              <w:textAlignment w:val="center"/>
              <w:outlineLvl w:val="9"/>
              <w:rPr>
                <w:rFonts w:hint="default" w:ascii="Times New Roman" w:hAnsi="Times New Roman" w:cs="Times New Roman"/>
                <w:color w:val="000000"/>
                <w:sz w:val="15"/>
                <w:szCs w:val="15"/>
                <w:highlight w:val="none"/>
              </w:rPr>
            </w:pPr>
            <w:r>
              <w:rPr>
                <w:rFonts w:hint="default" w:ascii="Times New Roman" w:hAnsi="Times New Roman" w:cs="Times New Roman"/>
                <w:i w:val="0"/>
                <w:color w:val="000000"/>
                <w:kern w:val="0"/>
                <w:sz w:val="15"/>
                <w:szCs w:val="15"/>
                <w:highlight w:val="none"/>
                <w:u w:val="none"/>
                <w:lang w:eastAsia="zh-CN" w:bidi="ar"/>
              </w:rPr>
              <w:t>90</w:t>
            </w:r>
            <w:r>
              <w:rPr>
                <w:rFonts w:hint="default" w:ascii="Times New Roman" w:hAnsi="Times New Roman" w:eastAsia="宋体" w:cs="Times New Roman"/>
                <w:i w:val="0"/>
                <w:color w:val="000000"/>
                <w:kern w:val="0"/>
                <w:sz w:val="15"/>
                <w:szCs w:val="15"/>
                <w:highlight w:val="none"/>
                <w:u w:val="none"/>
                <w:lang w:val="en-US" w:eastAsia="zh-CN" w:bidi="ar"/>
              </w:rPr>
              <w:t>%</w:t>
            </w:r>
          </w:p>
        </w:tc>
        <w:tc>
          <w:tcPr>
            <w:tcW w:w="8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jc w:val="both"/>
              <w:textAlignment w:val="center"/>
              <w:outlineLvl w:val="9"/>
              <w:rPr>
                <w:rFonts w:hint="default" w:ascii="Times New Roman" w:hAnsi="Times New Roman" w:cs="Times New Roman"/>
                <w:color w:val="000000"/>
                <w:sz w:val="15"/>
                <w:szCs w:val="15"/>
                <w:highlight w:val="none"/>
              </w:rPr>
            </w:pPr>
            <w:r>
              <w:rPr>
                <w:rFonts w:hint="default" w:ascii="Times New Roman" w:hAnsi="Times New Roman" w:cs="Times New Roman"/>
                <w:i w:val="0"/>
                <w:color w:val="000000"/>
                <w:kern w:val="0"/>
                <w:sz w:val="15"/>
                <w:szCs w:val="15"/>
                <w:highlight w:val="none"/>
                <w:u w:val="none"/>
                <w:lang w:eastAsia="zh-CN" w:bidi="ar"/>
              </w:rPr>
              <w:t>95</w:t>
            </w:r>
            <w:r>
              <w:rPr>
                <w:rFonts w:hint="default" w:ascii="Times New Roman" w:hAnsi="Times New Roman" w:eastAsia="宋体" w:cs="Times New Roman"/>
                <w:i w:val="0"/>
                <w:color w:val="000000"/>
                <w:kern w:val="0"/>
                <w:sz w:val="15"/>
                <w:szCs w:val="15"/>
                <w:highlight w:val="none"/>
                <w:u w:val="none"/>
                <w:lang w:val="en-US" w:eastAsia="zh-CN" w:bidi="ar"/>
              </w:rPr>
              <w:t>%</w:t>
            </w:r>
          </w:p>
        </w:tc>
        <w:tc>
          <w:tcPr>
            <w:tcW w:w="2062" w:type="dxa"/>
            <w:noWrap w:val="0"/>
            <w:vAlign w:val="center"/>
          </w:tcPr>
          <w:p>
            <w:pPr>
              <w:keepNext w:val="0"/>
              <w:keepLines w:val="0"/>
              <w:pageBreakBefore w:val="0"/>
              <w:kinsoku/>
              <w:wordWrap/>
              <w:overflowPunct/>
              <w:topLinePunct w:val="0"/>
              <w:autoSpaceDE/>
              <w:autoSpaceDN/>
              <w:bidi w:val="0"/>
              <w:adjustRightInd/>
              <w:snapToGrid/>
              <w:spacing w:line="180" w:lineRule="exact"/>
              <w:ind w:left="0"/>
              <w:jc w:val="both"/>
              <w:rPr>
                <w:rFonts w:hint="default" w:ascii="Times New Roman" w:hAnsi="Times New Roman" w:cs="Times New Roman"/>
                <w:color w:val="0000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atLeast"/>
          <w:jc w:val="center"/>
        </w:trPr>
        <w:tc>
          <w:tcPr>
            <w:tcW w:w="747" w:type="dxa"/>
            <w:noWrap w:val="0"/>
            <w:vAlign w:val="center"/>
          </w:tcPr>
          <w:p>
            <w:pPr>
              <w:keepNext w:val="0"/>
              <w:keepLines w:val="0"/>
              <w:pageBreakBefore w:val="0"/>
              <w:kinsoku/>
              <w:wordWrap/>
              <w:overflowPunct/>
              <w:topLinePunct w:val="0"/>
              <w:autoSpaceDE/>
              <w:autoSpaceDN/>
              <w:bidi w:val="0"/>
              <w:adjustRightInd/>
              <w:snapToGrid/>
              <w:spacing w:line="180" w:lineRule="exact"/>
              <w:ind w:left="0" w:firstLine="0"/>
              <w:jc w:val="both"/>
              <w:rPr>
                <w:rFonts w:hint="default" w:ascii="Times New Roman" w:hAnsi="Times New Roman" w:cs="Times New Roman"/>
                <w:color w:val="000000"/>
                <w:sz w:val="15"/>
                <w:szCs w:val="15"/>
                <w:highlight w:val="none"/>
              </w:rPr>
            </w:pPr>
            <w:r>
              <w:rPr>
                <w:rFonts w:hint="default" w:ascii="Times New Roman" w:hAnsi="Times New Roman" w:eastAsia="宋体" w:cs="Times New Roman"/>
                <w:color w:val="000000"/>
                <w:sz w:val="15"/>
                <w:szCs w:val="15"/>
                <w:highlight w:val="none"/>
              </w:rPr>
              <w:t>说明</w:t>
            </w:r>
          </w:p>
        </w:tc>
        <w:tc>
          <w:tcPr>
            <w:tcW w:w="8122" w:type="dxa"/>
            <w:gridSpan w:val="7"/>
            <w:noWrap w:val="0"/>
            <w:vAlign w:val="center"/>
          </w:tcPr>
          <w:p>
            <w:pPr>
              <w:keepNext w:val="0"/>
              <w:keepLines w:val="0"/>
              <w:pageBreakBefore w:val="0"/>
              <w:kinsoku/>
              <w:wordWrap/>
              <w:overflowPunct/>
              <w:topLinePunct w:val="0"/>
              <w:autoSpaceDE/>
              <w:autoSpaceDN/>
              <w:bidi w:val="0"/>
              <w:adjustRightInd/>
              <w:snapToGrid/>
              <w:spacing w:line="180" w:lineRule="exact"/>
              <w:ind w:left="0" w:firstLine="0"/>
              <w:jc w:val="both"/>
              <w:rPr>
                <w:rFonts w:hint="default" w:ascii="Times New Roman" w:hAnsi="Times New Roman" w:cs="Times New Roman"/>
                <w:color w:val="000000"/>
                <w:sz w:val="15"/>
                <w:szCs w:val="15"/>
                <w:highlight w:val="none"/>
              </w:rPr>
            </w:pPr>
            <w:r>
              <w:rPr>
                <w:rFonts w:hint="default" w:ascii="Times New Roman" w:hAnsi="Times New Roman" w:cs="Times New Roman"/>
                <w:color w:val="000000"/>
                <w:sz w:val="15"/>
                <w:szCs w:val="15"/>
                <w:highlight w:val="none"/>
              </w:rPr>
              <w:t>无</w:t>
            </w:r>
            <w:r>
              <w:rPr>
                <w:rFonts w:hint="default" w:ascii="Times New Roman" w:hAnsi="Times New Roman" w:eastAsia="宋体" w:cs="Times New Roman"/>
                <w:color w:val="000000"/>
                <w:sz w:val="15"/>
                <w:szCs w:val="15"/>
                <w:highlight w:val="none"/>
              </w:rPr>
              <w:t>。</w:t>
            </w:r>
          </w:p>
        </w:tc>
      </w:tr>
    </w:tbl>
    <w:p>
      <w:pPr>
        <w:keepNext w:val="0"/>
        <w:keepLines w:val="0"/>
        <w:pageBreakBefore w:val="0"/>
        <w:widowControl w:val="0"/>
        <w:kinsoku/>
        <w:wordWrap/>
        <w:overflowPunct/>
        <w:topLinePunct w:val="0"/>
        <w:autoSpaceDE/>
        <w:autoSpaceDN/>
        <w:bidi w:val="0"/>
        <w:adjustRightInd/>
        <w:snapToGrid/>
        <w:spacing w:line="240" w:lineRule="exact"/>
        <w:ind w:left="0" w:hanging="301" w:hangingChars="200"/>
        <w:jc w:val="both"/>
        <w:textAlignment w:val="auto"/>
        <w:outlineLvl w:val="9"/>
        <w:rPr>
          <w:rFonts w:hint="eastAsia" w:ascii="黑体" w:hAnsi="黑体" w:eastAsia="黑体" w:cs="黑体"/>
          <w:b/>
          <w:bCs/>
          <w:color w:val="000000" w:themeColor="text1"/>
          <w:sz w:val="15"/>
          <w:szCs w:val="15"/>
          <w:highlight w:val="none"/>
          <w14:textFill>
            <w14:solidFill>
              <w14:schemeClr w14:val="tx1"/>
            </w14:solidFill>
          </w14:textFill>
        </w:rPr>
      </w:pPr>
      <w:r>
        <w:rPr>
          <w:rFonts w:hint="eastAsia" w:ascii="黑体" w:hAnsi="黑体" w:eastAsia="黑体" w:cs="黑体"/>
          <w:b/>
          <w:bCs/>
          <w:color w:val="000000" w:themeColor="text1"/>
          <w:sz w:val="15"/>
          <w:szCs w:val="15"/>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default" w:ascii="Times New Roman" w:hAnsi="Times New Roman" w:cs="Times New Roman"/>
          <w:b/>
          <w:bCs/>
          <w:color w:val="000000" w:themeColor="text1"/>
          <w:sz w:val="15"/>
          <w:szCs w:val="15"/>
          <w:highlight w:val="none"/>
          <w14:textFill>
            <w14:solidFill>
              <w14:schemeClr w14:val="tx1"/>
            </w14:solidFill>
          </w14:textFill>
        </w:rPr>
      </w:pPr>
      <w:r>
        <w:rPr>
          <w:rFonts w:hint="default" w:ascii="Times New Roman" w:hAnsi="Times New Roman" w:cs="Times New Roman"/>
          <w:b/>
          <w:bCs/>
          <w:color w:val="000000" w:themeColor="text1"/>
          <w:sz w:val="15"/>
          <w:szCs w:val="15"/>
          <w:highlight w:val="none"/>
          <w14:textFill>
            <w14:solidFill>
              <w14:schemeClr w14:val="tx1"/>
            </w14:solidFill>
          </w14:textFill>
        </w:rPr>
        <w:t>1．</w:t>
      </w:r>
      <w:r>
        <w:rPr>
          <w:rFonts w:hint="eastAsia" w:ascii="Times New Roman" w:hAnsi="Times New Roman" w:cs="Times New Roman"/>
          <w:b/>
          <w:bCs/>
          <w:color w:val="000000" w:themeColor="text1"/>
          <w:sz w:val="15"/>
          <w:szCs w:val="15"/>
          <w:highlight w:val="none"/>
          <w:lang w:eastAsia="zh-CN"/>
          <w14:textFill>
            <w14:solidFill>
              <w14:schemeClr w14:val="tx1"/>
            </w14:solidFill>
          </w14:textFill>
        </w:rPr>
        <w:t>该表由省级</w:t>
      </w:r>
      <w:r>
        <w:rPr>
          <w:rFonts w:hint="default" w:ascii="Times New Roman" w:hAnsi="Times New Roman" w:cs="Times New Roman"/>
          <w:b/>
          <w:bCs/>
          <w:color w:val="000000" w:themeColor="text1"/>
          <w:sz w:val="15"/>
          <w:szCs w:val="15"/>
          <w:highlight w:val="none"/>
          <w14:textFill>
            <w14:solidFill>
              <w14:schemeClr w14:val="tx1"/>
            </w14:solidFill>
          </w14:textFill>
        </w:rPr>
        <w:t>主管部门填报。</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default" w:ascii="Times New Roman" w:hAnsi="Times New Roman" w:cs="Times New Roman"/>
          <w:b/>
          <w:bCs/>
          <w:color w:val="000000" w:themeColor="text1"/>
          <w:sz w:val="15"/>
          <w:szCs w:val="15"/>
          <w:highlight w:val="none"/>
          <w14:textFill>
            <w14:solidFill>
              <w14:schemeClr w14:val="tx1"/>
            </w14:solidFill>
          </w14:textFill>
        </w:rPr>
      </w:pPr>
      <w:r>
        <w:rPr>
          <w:rFonts w:hint="default" w:ascii="Times New Roman" w:hAnsi="Times New Roman" w:cs="Times New Roman"/>
          <w:b/>
          <w:bCs/>
          <w:color w:val="000000" w:themeColor="text1"/>
          <w:sz w:val="15"/>
          <w:szCs w:val="15"/>
          <w:highlight w:val="none"/>
          <w14:textFill>
            <w14:solidFill>
              <w14:schemeClr w14:val="tx1"/>
            </w14:solidFill>
          </w14:textFill>
        </w:rPr>
        <w:t>2．</w:t>
      </w:r>
      <w:r>
        <w:rPr>
          <w:rFonts w:hint="default" w:ascii="Times New Roman" w:hAnsi="Times New Roman" w:cs="Times New Roman"/>
          <w:b/>
          <w:bCs/>
          <w:color w:val="000000" w:themeColor="text1"/>
          <w:spacing w:val="-6"/>
          <w:sz w:val="15"/>
          <w:szCs w:val="15"/>
          <w:highlight w:val="none"/>
          <w14:textFill>
            <w14:solidFill>
              <w14:schemeClr w14:val="tx1"/>
            </w14:solidFill>
          </w14:textFill>
        </w:rPr>
        <w:t>其他资金包括与中央财政资金、地方财政资金共同投入</w:t>
      </w:r>
      <w:r>
        <w:rPr>
          <w:rFonts w:hint="eastAsia" w:ascii="Times New Roman" w:hAnsi="Times New Roman" w:cs="Times New Roman"/>
          <w:b/>
          <w:bCs/>
          <w:color w:val="000000" w:themeColor="text1"/>
          <w:spacing w:val="-6"/>
          <w:sz w:val="15"/>
          <w:szCs w:val="15"/>
          <w:highlight w:val="none"/>
          <w:lang w:eastAsia="zh-CN"/>
          <w14:textFill>
            <w14:solidFill>
              <w14:schemeClr w14:val="tx1"/>
            </w14:solidFill>
          </w14:textFill>
        </w:rPr>
        <w:t>到项目的</w:t>
      </w:r>
      <w:r>
        <w:rPr>
          <w:rFonts w:hint="default" w:ascii="Times New Roman" w:hAnsi="Times New Roman" w:cs="Times New Roman"/>
          <w:b/>
          <w:bCs/>
          <w:color w:val="000000" w:themeColor="text1"/>
          <w:spacing w:val="-6"/>
          <w:sz w:val="15"/>
          <w:szCs w:val="15"/>
          <w:highlight w:val="none"/>
          <w14:textFill>
            <w14:solidFill>
              <w14:schemeClr w14:val="tx1"/>
            </w14:solidFill>
          </w14:textFill>
        </w:rPr>
        <w:t>自有资金、社会资金。</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default" w:ascii="Times New Roman" w:hAnsi="Times New Roman" w:cs="Times New Roman"/>
          <w:b/>
          <w:bCs/>
          <w:color w:val="000000" w:themeColor="text1"/>
          <w:sz w:val="15"/>
          <w:szCs w:val="15"/>
          <w:highlight w:val="none"/>
          <w14:textFill>
            <w14:solidFill>
              <w14:schemeClr w14:val="tx1"/>
            </w14:solidFill>
          </w14:textFill>
        </w:rPr>
      </w:pPr>
      <w:r>
        <w:rPr>
          <w:rFonts w:hint="default" w:ascii="Times New Roman" w:hAnsi="Times New Roman" w:cs="Times New Roman"/>
          <w:b/>
          <w:bCs/>
          <w:color w:val="000000" w:themeColor="text1"/>
          <w:sz w:val="15"/>
          <w:szCs w:val="15"/>
          <w:highlight w:val="none"/>
          <w14:textFill>
            <w14:solidFill>
              <w14:schemeClr w14:val="tx1"/>
            </w14:solidFill>
          </w14:textFill>
        </w:rPr>
        <w:t>3．全年执行数是指按照国库集中支付制度要求，支付到商品和劳务供应者或用款单位形成的实际支出。</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default" w:ascii="Times New Roman" w:hAnsi="Times New Roman" w:cs="Times New Roman"/>
          <w:b/>
          <w:bCs/>
          <w:color w:val="000000" w:themeColor="text1"/>
          <w:sz w:val="15"/>
          <w:szCs w:val="15"/>
          <w:highlight w:val="none"/>
          <w14:textFill>
            <w14:solidFill>
              <w14:schemeClr w14:val="tx1"/>
            </w14:solidFill>
          </w14:textFill>
        </w:rPr>
      </w:pPr>
      <w:r>
        <w:rPr>
          <w:rFonts w:hint="default" w:ascii="Times New Roman" w:hAnsi="Times New Roman" w:cs="Times New Roman"/>
          <w:b/>
          <w:bCs/>
          <w:color w:val="000000" w:themeColor="text1"/>
          <w:sz w:val="15"/>
          <w:szCs w:val="15"/>
          <w:highlight w:val="none"/>
          <w14:textFill>
            <w14:solidFill>
              <w14:schemeClr w14:val="tx1"/>
            </w14:solidFill>
          </w14:textFill>
        </w:rPr>
        <w:t>4．定量指标实际完成值汇总时，绝对值直接累加计算，相对值按照资金额度加权平均计算。</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default" w:ascii="Times New Roman" w:hAnsi="Times New Roman" w:cs="Times New Roman"/>
          <w:b/>
          <w:bCs/>
          <w:color w:val="000000" w:themeColor="text1"/>
          <w:sz w:val="15"/>
          <w:szCs w:val="15"/>
          <w:highlight w:val="none"/>
          <w14:textFill>
            <w14:solidFill>
              <w14:schemeClr w14:val="tx1"/>
            </w14:solidFill>
          </w14:textFill>
        </w:rPr>
      </w:pPr>
      <w:r>
        <w:rPr>
          <w:rFonts w:hint="default" w:ascii="Times New Roman" w:hAnsi="Times New Roman" w:cs="Times New Roman"/>
          <w:b/>
          <w:bCs/>
          <w:color w:val="000000" w:themeColor="text1"/>
          <w:sz w:val="15"/>
          <w:szCs w:val="15"/>
          <w:highlight w:val="none"/>
          <w14:textFill>
            <w14:solidFill>
              <w14:schemeClr w14:val="tx1"/>
            </w14:solidFill>
          </w14:textFill>
        </w:rPr>
        <w:t>5．定性指标</w:t>
      </w:r>
      <w:r>
        <w:rPr>
          <w:rFonts w:hint="eastAsia" w:ascii="Times New Roman" w:hAnsi="Times New Roman" w:cs="Times New Roman"/>
          <w:b/>
          <w:bCs/>
          <w:color w:val="000000" w:themeColor="text1"/>
          <w:sz w:val="15"/>
          <w:szCs w:val="15"/>
          <w:highlight w:val="none"/>
          <w:lang w:eastAsia="zh-CN"/>
          <w14:textFill>
            <w14:solidFill>
              <w14:schemeClr w14:val="tx1"/>
            </w14:solidFill>
          </w14:textFill>
        </w:rPr>
        <w:t>根据指标完成情况分为：全部或基本达成预期指标、部分达成预期指标并具有一定效果、未达成预期指标且效果较差三档，</w:t>
      </w:r>
      <w:r>
        <w:rPr>
          <w:rFonts w:hint="default" w:ascii="Times New Roman" w:hAnsi="Times New Roman" w:cs="Times New Roman"/>
          <w:b/>
          <w:bCs/>
          <w:color w:val="000000" w:themeColor="text1"/>
          <w:sz w:val="15"/>
          <w:szCs w:val="15"/>
          <w:highlight w:val="none"/>
          <w14:textFill>
            <w14:solidFill>
              <w14:schemeClr w14:val="tx1"/>
            </w14:solidFill>
          </w14:textFill>
        </w:rPr>
        <w:t>资金使用单位分别按照100％-80％（含）、80％-60％（含）、60％-0％合理填写实际完成</w:t>
      </w:r>
      <w:r>
        <w:rPr>
          <w:rFonts w:hint="eastAsia" w:ascii="Times New Roman" w:hAnsi="Times New Roman" w:cs="Times New Roman"/>
          <w:b/>
          <w:bCs/>
          <w:color w:val="000000" w:themeColor="text1"/>
          <w:sz w:val="15"/>
          <w:szCs w:val="15"/>
          <w:highlight w:val="none"/>
          <w:lang w:eastAsia="zh-CN"/>
          <w14:textFill>
            <w14:solidFill>
              <w14:schemeClr w14:val="tx1"/>
            </w14:solidFill>
          </w14:textFill>
        </w:rPr>
        <w:t>比例，省</w:t>
      </w:r>
      <w:r>
        <w:rPr>
          <w:rFonts w:hint="default" w:ascii="Times New Roman" w:hAnsi="Times New Roman" w:cs="Times New Roman"/>
          <w:b/>
          <w:bCs/>
          <w:color w:val="000000" w:themeColor="text1"/>
          <w:sz w:val="15"/>
          <w:szCs w:val="15"/>
          <w:highlight w:val="none"/>
          <w14:textFill>
            <w14:solidFill>
              <w14:schemeClr w14:val="tx1"/>
            </w14:solidFill>
          </w14:textFill>
        </w:rPr>
        <w:t>级主管部门汇总</w:t>
      </w:r>
      <w:r>
        <w:rPr>
          <w:rFonts w:hint="eastAsia" w:ascii="Times New Roman" w:hAnsi="Times New Roman" w:cs="Times New Roman"/>
          <w:b/>
          <w:bCs/>
          <w:color w:val="000000" w:themeColor="text1"/>
          <w:sz w:val="15"/>
          <w:szCs w:val="15"/>
          <w:highlight w:val="none"/>
          <w:lang w:eastAsia="zh-CN"/>
          <w14:textFill>
            <w14:solidFill>
              <w14:schemeClr w14:val="tx1"/>
            </w14:solidFill>
          </w14:textFill>
        </w:rPr>
        <w:t>时</w:t>
      </w:r>
      <w:r>
        <w:rPr>
          <w:rFonts w:hint="default" w:ascii="Times New Roman" w:hAnsi="Times New Roman" w:cs="Times New Roman"/>
          <w:b/>
          <w:bCs/>
          <w:color w:val="000000" w:themeColor="text1"/>
          <w:sz w:val="15"/>
          <w:szCs w:val="15"/>
          <w:highlight w:val="none"/>
          <w14:textFill>
            <w14:solidFill>
              <w14:schemeClr w14:val="tx1"/>
            </w14:solidFill>
          </w14:textFill>
        </w:rPr>
        <w:t>按照资金额度加权平均计算。</w:t>
      </w:r>
    </w:p>
    <w:p>
      <w:pPr>
        <w:keepNext w:val="0"/>
        <w:keepLines w:val="0"/>
        <w:pageBreakBefore w:val="0"/>
        <w:widowControl w:val="0"/>
        <w:kinsoku/>
        <w:wordWrap/>
        <w:overflowPunct/>
        <w:topLinePunct w:val="0"/>
        <w:autoSpaceDE/>
        <w:autoSpaceDN/>
        <w:bidi w:val="0"/>
        <w:adjustRightInd/>
        <w:snapToGrid/>
        <w:spacing w:line="240" w:lineRule="exact"/>
        <w:ind w:left="0" w:firstLine="301" w:firstLineChars="200"/>
        <w:jc w:val="both"/>
        <w:textAlignment w:val="auto"/>
        <w:outlineLvl w:val="9"/>
        <w:rPr>
          <w:rFonts w:hint="eastAsia" w:ascii="Times New Roman" w:hAnsi="Times New Roman" w:cs="Times New Roman"/>
          <w:b/>
          <w:bCs/>
          <w:color w:val="000000" w:themeColor="text1"/>
          <w:sz w:val="15"/>
          <w:szCs w:val="15"/>
          <w:highlight w:val="none"/>
          <w:lang w:val="en-US" w:eastAsia="zh-CN"/>
          <w14:textFill>
            <w14:solidFill>
              <w14:schemeClr w14:val="tx1"/>
            </w14:solidFill>
          </w14:textFill>
        </w:rPr>
        <w:sectPr>
          <w:footerReference r:id="rId4" w:type="first"/>
          <w:footerReference r:id="rId3" w:type="default"/>
          <w:pgSz w:w="11900" w:h="16840"/>
          <w:pgMar w:top="2098" w:right="1474" w:bottom="1984" w:left="1587" w:header="0" w:footer="1321"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Times New Roman" w:hAnsi="Times New Roman" w:cs="Times New Roman"/>
          <w:b/>
          <w:bCs/>
          <w:color w:val="000000" w:themeColor="text1"/>
          <w:sz w:val="15"/>
          <w:szCs w:val="15"/>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15"/>
          <w:szCs w:val="15"/>
          <w:highlight w:val="none"/>
          <w14:textFill>
            <w14:solidFill>
              <w14:schemeClr w14:val="tx1"/>
            </w14:solidFill>
          </w14:textFill>
        </w:rPr>
        <w:t>．</w:t>
      </w:r>
      <w:r>
        <w:rPr>
          <w:rFonts w:hint="eastAsia" w:ascii="Times New Roman" w:hAnsi="Times New Roman" w:cs="Times New Roman"/>
          <w:b/>
          <w:bCs/>
          <w:color w:val="000000" w:themeColor="text1"/>
          <w:sz w:val="15"/>
          <w:szCs w:val="15"/>
          <w:highlight w:val="none"/>
          <w:lang w:val="en-US" w:eastAsia="zh-CN"/>
          <w14:textFill>
            <w14:solidFill>
              <w14:schemeClr w14:val="tx1"/>
            </w14:solidFill>
          </w14:textFill>
        </w:rPr>
        <w:t>对未完成绩效目标或超过年初设定的绩效指标值30%及以上的，需分析原因并提出改进措施。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highlight w:val="none"/>
          <w:lang w:val="en-US" w:eastAsia="zh-CN"/>
        </w:rPr>
      </w:pPr>
    </w:p>
    <w:sectPr>
      <w:pgSz w:w="11900" w:h="16840"/>
      <w:pgMar w:top="1417" w:right="1474" w:bottom="1417" w:left="1587" w:header="0" w:footer="1321"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333"/>
    <w:multiLevelType w:val="multilevel"/>
    <w:tmpl w:val="03FA4333"/>
    <w:lvl w:ilvl="0" w:tentative="0">
      <w:start w:val="1"/>
      <w:numFmt w:val="decimal"/>
      <w:pStyle w:val="3"/>
      <w:lvlText w:val="%1."/>
      <w:lvlJc w:val="left"/>
      <w:pPr>
        <w:tabs>
          <w:tab w:val="left" w:pos="1050"/>
        </w:tabs>
        <w:ind w:left="1050" w:hanging="420"/>
      </w:pPr>
      <w:rPr>
        <w:rFonts w:hint="eastAsia"/>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rawingGridVerticalSpacing w:val="143"/>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jE4ODhlYTVmMWM4M2Y1ODY0NGVlOTI0MjIzYmYifQ=="/>
  </w:docVars>
  <w:rsids>
    <w:rsidRoot w:val="00000000"/>
    <w:rsid w:val="01D37B60"/>
    <w:rsid w:val="02F418A4"/>
    <w:rsid w:val="03CB5125"/>
    <w:rsid w:val="03FB004C"/>
    <w:rsid w:val="04ED064B"/>
    <w:rsid w:val="0D5804A6"/>
    <w:rsid w:val="0F284331"/>
    <w:rsid w:val="0FEEE8A0"/>
    <w:rsid w:val="11115CB8"/>
    <w:rsid w:val="11492705"/>
    <w:rsid w:val="13821F27"/>
    <w:rsid w:val="157727EC"/>
    <w:rsid w:val="17D205FA"/>
    <w:rsid w:val="1AE263EA"/>
    <w:rsid w:val="1EE8290B"/>
    <w:rsid w:val="1FD75EB6"/>
    <w:rsid w:val="20A3113B"/>
    <w:rsid w:val="232A684C"/>
    <w:rsid w:val="2409256C"/>
    <w:rsid w:val="24AA3A10"/>
    <w:rsid w:val="274D5443"/>
    <w:rsid w:val="299F6932"/>
    <w:rsid w:val="2AFFCE6A"/>
    <w:rsid w:val="3A0E30A5"/>
    <w:rsid w:val="3A8E3378"/>
    <w:rsid w:val="3B050A8A"/>
    <w:rsid w:val="3BCBF988"/>
    <w:rsid w:val="3FDCA03C"/>
    <w:rsid w:val="460B7CA5"/>
    <w:rsid w:val="48797B96"/>
    <w:rsid w:val="4B801F8A"/>
    <w:rsid w:val="4BFE84F0"/>
    <w:rsid w:val="4CE40FD3"/>
    <w:rsid w:val="4F44537B"/>
    <w:rsid w:val="52391D98"/>
    <w:rsid w:val="599C49B9"/>
    <w:rsid w:val="5C290C8A"/>
    <w:rsid w:val="5E9E4C37"/>
    <w:rsid w:val="5F7FFAF6"/>
    <w:rsid w:val="61CB3EFE"/>
    <w:rsid w:val="6281516D"/>
    <w:rsid w:val="62D60F4C"/>
    <w:rsid w:val="65DB1536"/>
    <w:rsid w:val="65E21236"/>
    <w:rsid w:val="67F90874"/>
    <w:rsid w:val="68897FA3"/>
    <w:rsid w:val="69436FE9"/>
    <w:rsid w:val="69FB1ED6"/>
    <w:rsid w:val="6ACF2366"/>
    <w:rsid w:val="6C2F18FC"/>
    <w:rsid w:val="6C357761"/>
    <w:rsid w:val="6D74AF0D"/>
    <w:rsid w:val="6E81246D"/>
    <w:rsid w:val="6F3F7F36"/>
    <w:rsid w:val="6FFDF69D"/>
    <w:rsid w:val="6FFF6C93"/>
    <w:rsid w:val="713F2E04"/>
    <w:rsid w:val="72065F6B"/>
    <w:rsid w:val="73F7CD6E"/>
    <w:rsid w:val="74935932"/>
    <w:rsid w:val="777FC23F"/>
    <w:rsid w:val="77C74D6A"/>
    <w:rsid w:val="77FF3EC8"/>
    <w:rsid w:val="7B19216A"/>
    <w:rsid w:val="7B4C1BE3"/>
    <w:rsid w:val="7B5FFC65"/>
    <w:rsid w:val="7BFE449F"/>
    <w:rsid w:val="7C5E4A05"/>
    <w:rsid w:val="7DDF6215"/>
    <w:rsid w:val="7DEA37CC"/>
    <w:rsid w:val="7DFE1375"/>
    <w:rsid w:val="7ED01303"/>
    <w:rsid w:val="7F4CB546"/>
    <w:rsid w:val="7F5F9756"/>
    <w:rsid w:val="7F9E210D"/>
    <w:rsid w:val="7FB762E1"/>
    <w:rsid w:val="7FFD942B"/>
    <w:rsid w:val="ABFF4D8C"/>
    <w:rsid w:val="B5FA5406"/>
    <w:rsid w:val="BFBD7D0A"/>
    <w:rsid w:val="BFE6161F"/>
    <w:rsid w:val="BFFB7A62"/>
    <w:rsid w:val="C66BE695"/>
    <w:rsid w:val="CF3FB0AF"/>
    <w:rsid w:val="CF5FEF4B"/>
    <w:rsid w:val="CFF71F61"/>
    <w:rsid w:val="DC5D767D"/>
    <w:rsid w:val="DFC2F812"/>
    <w:rsid w:val="E4E51B49"/>
    <w:rsid w:val="EECDA7FB"/>
    <w:rsid w:val="F7DBA580"/>
    <w:rsid w:val="FA9B898B"/>
    <w:rsid w:val="FBF4104C"/>
    <w:rsid w:val="FEDF7607"/>
    <w:rsid w:val="FF8FA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paragraph" w:styleId="2">
    <w:name w:val="heading 2"/>
    <w:basedOn w:val="1"/>
    <w:next w:val="1"/>
    <w:unhideWhenUsed/>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qFormat/>
    <w:uiPriority w:val="0"/>
    <w:pPr>
      <w:keepNext/>
      <w:keepLines/>
      <w:numPr>
        <w:ilvl w:val="0"/>
        <w:numId w:val="1"/>
      </w:numPr>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0"/>
    <w:pPr>
      <w:spacing w:after="120" w:afterLines="0" w:afterAutospacing="0"/>
      <w:ind w:left="420" w:leftChars="200"/>
    </w:pPr>
  </w:style>
  <w:style w:type="paragraph" w:styleId="5">
    <w:name w:val="List"/>
    <w:basedOn w:val="1"/>
    <w:qFormat/>
    <w:uiPriority w:val="0"/>
    <w:pPr>
      <w:widowControl/>
      <w:spacing w:line="425" w:lineRule="atLeast"/>
      <w:ind w:left="200" w:hanging="200" w:hangingChars="200"/>
      <w:textAlignment w:val="baseline"/>
    </w:pPr>
    <w:rPr>
      <w:color w:val="000000"/>
      <w:kern w:val="0"/>
      <w:u w:val="none" w:color="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0"/>
    <w:pPr>
      <w:ind w:firstLine="420" w:firstLineChars="200"/>
    </w:pPr>
  </w:style>
  <w:style w:type="paragraph" w:customStyle="1" w:styleId="11">
    <w:name w:val="Heading4"/>
    <w:basedOn w:val="1"/>
    <w:next w:val="1"/>
    <w:qFormat/>
    <w:uiPriority w:val="99"/>
    <w:pPr>
      <w:spacing w:line="400" w:lineRule="exact"/>
    </w:pPr>
    <w:rPr>
      <w:szCs w:val="28"/>
    </w:rPr>
  </w:style>
  <w:style w:type="character" w:customStyle="1" w:styleId="12">
    <w:name w:val="font21"/>
    <w:basedOn w:val="10"/>
    <w:qFormat/>
    <w:uiPriority w:val="0"/>
    <w:rPr>
      <w:rFonts w:hint="eastAsia" w:ascii="宋体" w:hAnsi="宋体" w:eastAsia="宋体" w:cs="宋体"/>
      <w:color w:val="000000"/>
      <w:sz w:val="16"/>
      <w:szCs w:val="16"/>
      <w:u w:val="none"/>
    </w:rPr>
  </w:style>
  <w:style w:type="character" w:customStyle="1" w:styleId="13">
    <w:name w:val="font01"/>
    <w:basedOn w:val="10"/>
    <w:qFormat/>
    <w:uiPriority w:val="0"/>
    <w:rPr>
      <w:rFonts w:ascii="黑体" w:hAnsi="宋体" w:eastAsia="黑体" w:cs="黑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2306</Words>
  <Characters>2346</Characters>
  <TotalTime>3</TotalTime>
  <ScaleCrop>false</ScaleCrop>
  <LinksUpToDate>false</LinksUpToDate>
  <CharactersWithSpaces>2362</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2021-11-28T17:03:00Z</dcterms:created>
  <dc:creator>openxml-sdk </dc:creator>
  <dc:description>openxml-sdk, CCi Textin Word Converter, JL</dc:description>
  <cp:keywords>CCi</cp:keywords>
  <cp:lastModifiedBy>greatwall</cp:lastModifiedBy>
  <cp:lastPrinted>2025-01-23T18:44:00Z</cp:lastPrinted>
  <dcterms:modified xsi:type="dcterms:W3CDTF">2025-01-22T20:59:21Z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DAA9FE734F3F4374BE9D8D34A1B07BD6_12</vt:lpwstr>
  </property>
</Properties>
</file>