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新疆维吾尔自治区中医药研究院</w:t>
      </w:r>
    </w:p>
    <w:p>
      <w:pPr>
        <w:jc w:val="center"/>
        <w:rPr>
          <w:rFonts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rPr>
          <w:rFonts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HYPERLINK \l _Toc32314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_Toc30567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_Toc2151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sz w:val="32"/>
          <w:szCs w:val="32"/>
        </w:rPr>
        <w:fldChar w:fldCharType="end"/>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HYPERLINK \l _Toc29374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_Toc25314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_Toc12142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_Toc13201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_Toc26564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_Toc20360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_Toc30870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_Toc21518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_Toc5810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sz w:val="32"/>
          <w:szCs w:val="32"/>
        </w:rPr>
        <w:fldChar w:fldCharType="end"/>
      </w:r>
    </w:p>
    <w:p>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_Toc5810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_Toc1235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_Toc14519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_Toc227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_Toc8391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_Toc11283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HYPERLINK \l _Toc3250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HYPERLINK \l _Toc22784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_Toc2183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_Toc24532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_Toc32434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_Toc28786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_Toc14869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_Toc8884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\l _Toc29106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fldChar w:fldCharType="begin"/>
      </w:r>
      <w:r>
        <w:rPr>
          <w:rFonts w:hint="eastAsia" w:ascii="仿宋_GB2312" w:hAnsi="仿宋_GB2312" w:eastAsia="仿宋_GB2312" w:cs="仿宋_GB2312"/>
          <w:bCs/>
          <w:kern w:val="0"/>
          <w:sz w:val="32"/>
          <w:szCs w:val="32"/>
        </w:rPr>
        <w:instrText xml:space="preserve"> HYPERLINK \l _Toc7643 </w:instrText>
      </w:r>
      <w:r>
        <w:rPr>
          <w:rFonts w:hint="eastAsia" w:ascii="仿宋_GB2312" w:hAnsi="仿宋_GB2312" w:eastAsia="仿宋_GB2312" w:cs="仿宋_GB2312"/>
          <w:bCs/>
          <w:kern w:val="0"/>
          <w:sz w:val="32"/>
          <w:szCs w:val="32"/>
        </w:rP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640" w:firstLineChars="20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新疆维吾尔自治区中医药研究院于2002年与新疆维吾尔自治区中医医院合并，是自治区中医医疗、教学、科研、保健、康复工作的主要基地和中医学术龙头单位，每年承担多项国家级、省级、卫生健康委员会、医科大学科研课题。2023年，在上级党委正确领导下，医院坚持以习近平新时代中国特色社会主义思想为指导，全面贯彻党的二十大精神和自治区党委十届历次全会精神，完整准确贯彻新时代党的治疆方略，认真贯彻落实上级党委安排部署，坚持以人民健康为中心，以高质量发展为主题，贯彻落实党和国家关于中医药工作的法律、法规和政策，围绕为全疆各族人民群众提供中医医疗、预防、保健、康复等医疗卫生服务；探索医联体建设新模式，与基层医疗机构建立紧密的合作关系，确保全疆各族群众健康需求；加强中医医院标准化管理；承担意外灾害事故、疫情等突发公共卫生事件的医疗救援及预防、保健和康复医疗服务工作；充分发挥中医药在国家基本公共卫生服务中的优势和作用，负责医院内部公共卫生服务中医药健康管理项目的实施和日常管理；组织实施中医药科学研究，推进医学科技成果转化和推广应用；承担中医药人才培养，中医药继续医学教育工作；拟订实施医院战略发展规划；承担全疆卫生医疗人员进修、技术指导和本科、研究生的教育教学工作；做好城镇居民基本医疗保险和新型农村合作医疗保险等定点医疗机构的各项工作；参与自治区卫生健康系统、新疆医科大学等各级上级部门卫生扶贫、重大活动的医疗卫生保障工作等职能，协同高效推进医教研各项工作，医院核心竞争力、文化软实力和综合实力全面提升，医院高质量发展步入“快车道”。</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新疆维吾尔自治区中医药研究院2023年度，实有人数</w:t>
      </w:r>
      <w:r>
        <w:rPr>
          <w:rFonts w:hint="eastAsia" w:ascii="仿宋_GB2312" w:hAnsi="Times New Roman" w:eastAsia="仿宋_GB2312" w:cs="Times New Roman"/>
          <w:sz w:val="32"/>
          <w:szCs w:val="32"/>
          <w:lang w:val="zh-CN"/>
        </w:rPr>
        <w:t>173</w:t>
      </w:r>
      <w:r>
        <w:rPr>
          <w:rFonts w:hint="eastAsia" w:ascii="仿宋_GB2312" w:hAnsi="Times New Roman" w:eastAsia="仿宋_GB2312" w:cs="Times New Roman"/>
          <w:sz w:val="32"/>
          <w:szCs w:val="32"/>
        </w:rPr>
        <w:t>人，其中：在职人员</w:t>
      </w:r>
      <w:r>
        <w:rPr>
          <w:rFonts w:hint="eastAsia" w:ascii="仿宋_GB2312" w:hAnsi="Times New Roman" w:eastAsia="仿宋_GB2312" w:cs="Times New Roman"/>
          <w:sz w:val="32"/>
          <w:szCs w:val="32"/>
          <w:lang w:val="zh-CN"/>
        </w:rPr>
        <w:t>98</w:t>
      </w:r>
      <w:r>
        <w:rPr>
          <w:rFonts w:hint="eastAsia" w:ascii="仿宋_GB2312" w:hAnsi="Times New Roman" w:eastAsia="仿宋_GB2312" w:cs="Times New Roman"/>
          <w:sz w:val="32"/>
          <w:szCs w:val="32"/>
        </w:rPr>
        <w:t>人，离休人员</w:t>
      </w:r>
      <w:r>
        <w:rPr>
          <w:rFonts w:hint="eastAsia" w:ascii="仿宋_GB2312" w:hAnsi="Times New Roman" w:eastAsia="仿宋_GB2312" w:cs="Times New Roman"/>
          <w:sz w:val="32"/>
          <w:szCs w:val="32"/>
          <w:lang w:val="zh-CN"/>
        </w:rPr>
        <w:t>0</w:t>
      </w:r>
      <w:r>
        <w:rPr>
          <w:rFonts w:hint="eastAsia" w:ascii="仿宋_GB2312" w:hAnsi="Times New Roman" w:eastAsia="仿宋_GB2312" w:cs="Times New Roman"/>
          <w:sz w:val="32"/>
          <w:szCs w:val="32"/>
        </w:rPr>
        <w:t>人，退休人员</w:t>
      </w:r>
      <w:r>
        <w:rPr>
          <w:rFonts w:hint="eastAsia" w:ascii="仿宋_GB2312" w:hAnsi="Times New Roman" w:eastAsia="仿宋_GB2312" w:cs="Times New Roman"/>
          <w:sz w:val="32"/>
          <w:szCs w:val="32"/>
          <w:lang w:val="zh-CN"/>
        </w:rPr>
        <w:t>75</w:t>
      </w:r>
      <w:r>
        <w:rPr>
          <w:rFonts w:hint="eastAsia" w:ascii="仿宋_GB2312" w:hAnsi="Times New Roman" w:eastAsia="仿宋_GB2312" w:cs="Times New Roman"/>
          <w:sz w:val="32"/>
          <w:szCs w:val="32"/>
        </w:rPr>
        <w:t>人。</w:t>
      </w:r>
    </w:p>
    <w:p>
      <w:pPr>
        <w:ind w:firstLine="640" w:firstLineChars="200"/>
        <w:rPr>
          <w:rFonts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108</w:t>
      </w:r>
      <w:r>
        <w:rPr>
          <w:rFonts w:hint="eastAsia" w:ascii="仿宋_GB2312" w:hAnsi="黑体" w:eastAsia="仿宋_GB2312" w:cs="宋体"/>
          <w:bCs/>
          <w:kern w:val="0"/>
          <w:sz w:val="32"/>
          <w:szCs w:val="32"/>
        </w:rPr>
        <w:t>个处室，分别是：综合科、文秘机要科、宣传科、组织干部科、人事科、统战科、医务管理科、行风办（医患沟通科）、病案管理科、感染管理科、公共卫生科、会计科、收费结算管理科、资产管理科、纪检监察室、审计科 、绩效管理办公室、质量管理科 、医疗保险办公室、干部保健科、后勤管理科、信息管理科、医学工程科、保卫科、离退休管理办公室、工会 、团委、心内一科、心内二科 、心内三科、心内四科、介入治疗科、冠心病重症监护科（CCU）、肿瘤一科、肿瘤二科、放疗科、门诊部、干部一科、干部二科、干部三科、呼吸与危重症医学科一病区（肺病一科）、呼吸与危重症医学科二病区（肺病二科）、呼吸与危重症医学科三病区（肺病三科）、呼吸与危重症监护科、脑病一科（神经内一科）、脑病二科（神经内二科）等</w:t>
      </w:r>
      <w:r>
        <w:rPr>
          <w:rFonts w:hint="eastAsia"/>
          <w:color w:val="000000"/>
          <w:spacing w:val="-10"/>
          <w:sz w:val="32"/>
          <w:szCs w:val="32"/>
        </w:rPr>
        <w:t>。</w:t>
      </w:r>
    </w:p>
    <w:p>
      <w:pPr>
        <w:jc w:val="center"/>
        <w:outlineLvl w:val="0"/>
        <w:rPr>
          <w:rFonts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2023年度收入总计6,142.14万元，其中：本年收入合计4,871.88万元，使用非财政拨款结余0.00万元，年初结转和结余1,270.26万元。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2023年度支出总计6,142.14万元，其中：本年支出合计4,635.52万元，结余分配0.00万元，年末结转和结余1,506.62万元。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增加1,869.98万元</w:t>
      </w:r>
      <w:r>
        <w:rPr>
          <w:rFonts w:hint="eastAsia" w:ascii="仿宋_GB2312" w:eastAsia="仿宋_GB2312"/>
          <w:sz w:val="32"/>
          <w:szCs w:val="32"/>
        </w:rPr>
        <w:t>，增长43.77%，主要原因是：本年度项目增加，相应项目收入增加。</w:t>
      </w:r>
    </w:p>
    <w:p>
      <w:pPr>
        <w:ind w:firstLine="640" w:firstLineChars="200"/>
        <w:jc w:val="left"/>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本年收入4,871.88万元，其中：财政拨款收入</w:t>
      </w:r>
      <w:r>
        <w:rPr>
          <w:rFonts w:hint="eastAsia" w:ascii="仿宋_GB2312" w:eastAsia="仿宋_GB2312"/>
          <w:sz w:val="32"/>
          <w:szCs w:val="32"/>
          <w:lang w:val="zh-CN"/>
        </w:rPr>
        <w:t>3,470.95</w:t>
      </w:r>
      <w:r>
        <w:rPr>
          <w:rFonts w:hint="eastAsia" w:ascii="仿宋_GB2312" w:eastAsia="仿宋_GB2312"/>
          <w:sz w:val="32"/>
          <w:szCs w:val="32"/>
        </w:rPr>
        <w:t>万元，占</w:t>
      </w:r>
      <w:r>
        <w:rPr>
          <w:rFonts w:hint="eastAsia" w:ascii="仿宋_GB2312" w:eastAsia="仿宋_GB2312"/>
          <w:sz w:val="32"/>
          <w:szCs w:val="32"/>
          <w:lang w:val="zh-CN"/>
        </w:rPr>
        <w:t>71.24</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1,400.93</w:t>
      </w:r>
      <w:r>
        <w:rPr>
          <w:rFonts w:hint="eastAsia" w:ascii="仿宋_GB2312" w:eastAsia="仿宋_GB2312"/>
          <w:sz w:val="32"/>
          <w:szCs w:val="32"/>
        </w:rPr>
        <w:t>万元，占</w:t>
      </w:r>
      <w:r>
        <w:rPr>
          <w:rFonts w:hint="eastAsia" w:ascii="仿宋_GB2312" w:eastAsia="仿宋_GB2312"/>
          <w:sz w:val="32"/>
          <w:szCs w:val="32"/>
          <w:lang w:val="zh-CN"/>
        </w:rPr>
        <w:t>28.76</w:t>
      </w:r>
      <w:r>
        <w:rPr>
          <w:rFonts w:hint="eastAsia" w:ascii="仿宋_GB2312" w:eastAsia="仿宋_GB2312"/>
          <w:sz w:val="32"/>
          <w:szCs w:val="32"/>
        </w:rPr>
        <w:t>%。</w:t>
      </w:r>
    </w:p>
    <w:p>
      <w:pPr>
        <w:ind w:firstLine="640" w:firstLineChars="200"/>
        <w:jc w:val="left"/>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jc w:val="left"/>
        <w:rPr>
          <w:rFonts w:eastAsia="仿宋_GB2312" w:cs="仿宋_GB2312"/>
          <w:sz w:val="30"/>
          <w:szCs w:val="30"/>
          <w:lang w:val="zh-CN"/>
        </w:rPr>
      </w:pPr>
      <w:r>
        <w:rPr>
          <w:rFonts w:hint="eastAsia" w:eastAsia="仿宋_GB2312" w:cs="仿宋_GB2312"/>
          <w:sz w:val="32"/>
          <w:szCs w:val="32"/>
          <w:lang w:val="zh-CN"/>
        </w:rPr>
        <w:t>本年支出4,635.52万元，其中：基本支出2,750.70万元，占59.34%；项目支出1,884.83万元，占40.66%；上缴上级支出0.00万元，占0.00%；经营支出0.00万元，占0.00%；对附属单位补助支出0.00万元，占0.00%。</w:t>
      </w:r>
    </w:p>
    <w:p>
      <w:pPr>
        <w:ind w:firstLine="640" w:firstLineChars="200"/>
        <w:jc w:val="left"/>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3,470.95</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3,470.95</w:t>
      </w:r>
      <w:r>
        <w:rPr>
          <w:rFonts w:hint="eastAsia" w:ascii="仿宋_GB2312" w:eastAsia="仿宋_GB2312"/>
          <w:sz w:val="32"/>
          <w:szCs w:val="32"/>
        </w:rPr>
        <w:t>万元。财政拨款支出总计</w:t>
      </w:r>
      <w:r>
        <w:rPr>
          <w:rFonts w:hint="eastAsia" w:ascii="仿宋_GB2312" w:eastAsia="仿宋_GB2312"/>
          <w:sz w:val="32"/>
          <w:szCs w:val="32"/>
          <w:lang w:val="zh-CN"/>
        </w:rPr>
        <w:t>3,470.95</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4.72</w:t>
      </w:r>
      <w:r>
        <w:rPr>
          <w:rFonts w:hint="eastAsia" w:ascii="仿宋_GB2312" w:eastAsia="仿宋_GB2312"/>
          <w:sz w:val="32"/>
          <w:szCs w:val="32"/>
        </w:rPr>
        <w:t>万元，本年财政拨款支出</w:t>
      </w:r>
      <w:r>
        <w:rPr>
          <w:rFonts w:hint="eastAsia" w:ascii="仿宋_GB2312" w:eastAsia="仿宋_GB2312"/>
          <w:sz w:val="32"/>
          <w:szCs w:val="32"/>
          <w:lang w:val="zh-CN"/>
        </w:rPr>
        <w:t>3,466.23</w:t>
      </w:r>
      <w:r>
        <w:rPr>
          <w:rFonts w:hint="eastAsia" w:ascii="仿宋_GB2312" w:eastAsia="仿宋_GB2312"/>
          <w:sz w:val="32"/>
          <w:szCs w:val="32"/>
        </w:rPr>
        <w:t>万元。</w:t>
      </w:r>
    </w:p>
    <w:p>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增加778.53万元</w:t>
      </w:r>
      <w:r>
        <w:rPr>
          <w:rFonts w:hint="eastAsia" w:ascii="仿宋_GB2312" w:eastAsia="仿宋_GB2312"/>
          <w:sz w:val="32"/>
          <w:szCs w:val="32"/>
        </w:rPr>
        <w:t>，增长28.92%,主要原因是：正常增资，退休人员增加导致退休医疗费增加。与年初预算相比，年初预算数</w:t>
      </w:r>
      <w:r>
        <w:rPr>
          <w:rFonts w:hint="eastAsia" w:ascii="仿宋_GB2312" w:eastAsia="仿宋_GB2312"/>
          <w:sz w:val="32"/>
          <w:szCs w:val="32"/>
          <w:lang w:val="zh-CN"/>
        </w:rPr>
        <w:t>2,679.08</w:t>
      </w:r>
      <w:r>
        <w:rPr>
          <w:rFonts w:hint="eastAsia" w:ascii="仿宋_GB2312" w:eastAsia="仿宋_GB2312"/>
          <w:sz w:val="32"/>
          <w:szCs w:val="32"/>
        </w:rPr>
        <w:t>万元，决算数</w:t>
      </w:r>
      <w:r>
        <w:rPr>
          <w:rFonts w:hint="eastAsia" w:ascii="仿宋_GB2312" w:eastAsia="仿宋_GB2312"/>
          <w:sz w:val="32"/>
          <w:szCs w:val="32"/>
          <w:lang w:val="zh-CN"/>
        </w:rPr>
        <w:t>3,470.95</w:t>
      </w:r>
      <w:r>
        <w:rPr>
          <w:rFonts w:hint="eastAsia" w:ascii="仿宋_GB2312" w:eastAsia="仿宋_GB2312"/>
          <w:sz w:val="32"/>
          <w:szCs w:val="32"/>
        </w:rPr>
        <w:t>万元，预决算差异率29.56%，主要原因是：</w:t>
      </w:r>
      <w:r>
        <w:rPr>
          <w:rFonts w:hint="eastAsia" w:ascii="仿宋_GB2312" w:eastAsia="仿宋_GB2312"/>
          <w:sz w:val="32"/>
          <w:szCs w:val="32"/>
          <w:lang w:val="en-US" w:eastAsia="zh-CN"/>
        </w:rPr>
        <w:t>正常性政策增资及人员晋升导致的增长</w:t>
      </w:r>
      <w:r>
        <w:rPr>
          <w:rFonts w:hint="eastAsia" w:ascii="仿宋_GB2312" w:eastAsia="仿宋_GB2312"/>
          <w:sz w:val="32"/>
          <w:szCs w:val="32"/>
        </w:rPr>
        <w:t>。</w:t>
      </w:r>
    </w:p>
    <w:p>
      <w:pPr>
        <w:ind w:firstLine="640" w:firstLineChars="200"/>
        <w:jc w:val="left"/>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2023年度一般公共预算财政拨款支出3,466.23万元，占本年支出合计的74.78%。与上年相比，增加773.81万元，增长28.74%,主要原因是：</w:t>
      </w:r>
      <w:r>
        <w:rPr>
          <w:rFonts w:hint="eastAsia" w:ascii="仿宋_GB2312" w:eastAsia="仿宋_GB2312"/>
          <w:sz w:val="32"/>
          <w:szCs w:val="32"/>
          <w:lang w:val="en-US" w:eastAsia="zh-CN"/>
        </w:rPr>
        <w:t>正常性政策增资及人员晋升导致的增长</w:t>
      </w:r>
      <w:r>
        <w:rPr>
          <w:rFonts w:hint="eastAsia" w:ascii="仿宋_GB2312" w:eastAsia="仿宋_GB2312"/>
          <w:sz w:val="32"/>
          <w:szCs w:val="32"/>
        </w:rPr>
        <w:t>。与年初预算相比，年初预算数2,679.08万元，决算数3,466.23万元，预决算差异率29.38%，主要原因是：</w:t>
      </w:r>
      <w:r>
        <w:rPr>
          <w:rFonts w:hint="eastAsia" w:ascii="仿宋_GB2312" w:eastAsia="仿宋_GB2312"/>
          <w:sz w:val="32"/>
          <w:szCs w:val="32"/>
          <w:lang w:val="en-US" w:eastAsia="zh-CN"/>
        </w:rPr>
        <w:t>正常性政策增资及人员晋升导致的增长</w:t>
      </w:r>
      <w:r>
        <w:rPr>
          <w:rFonts w:hint="eastAsia" w:ascii="仿宋_GB2312" w:eastAsia="仿宋_GB2312"/>
          <w:sz w:val="32"/>
          <w:szCs w:val="32"/>
        </w:rPr>
        <w:t>。</w:t>
      </w:r>
    </w:p>
    <w:p>
      <w:pPr>
        <w:numPr>
          <w:ilvl w:val="0"/>
          <w:numId w:val="1"/>
        </w:numPr>
        <w:ind w:firstLine="640" w:firstLineChars="200"/>
        <w:jc w:val="left"/>
        <w:outlineLvl w:val="2"/>
        <w:rPr>
          <w:rFonts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hint="eastAsia" w:ascii="仿宋_GB2312" w:eastAsia="仿宋_GB2312"/>
          <w:kern w:val="2"/>
          <w:sz w:val="32"/>
          <w:szCs w:val="32"/>
          <w:lang w:eastAsia="zh-CN"/>
        </w:rPr>
      </w:pPr>
      <w:r>
        <w:rPr>
          <w:rFonts w:ascii="仿宋_GB2312" w:eastAsia="仿宋_GB2312"/>
          <w:kern w:val="2"/>
          <w:sz w:val="32"/>
          <w:szCs w:val="32"/>
          <w:lang w:val="zh-CN"/>
        </w:rPr>
        <w:t>1</w:t>
      </w:r>
      <w:r>
        <w:rPr>
          <w:rFonts w:ascii="仿宋_GB2312" w:eastAsia="仿宋_GB2312"/>
          <w:kern w:val="2"/>
          <w:sz w:val="32"/>
          <w:szCs w:val="32"/>
        </w:rPr>
        <w:t>.</w:t>
      </w:r>
      <w:r>
        <w:rPr>
          <w:rFonts w:ascii="仿宋_GB2312" w:eastAsia="仿宋_GB2312"/>
          <w:kern w:val="2"/>
          <w:sz w:val="32"/>
          <w:szCs w:val="32"/>
          <w:lang w:val="zh-CN"/>
        </w:rPr>
        <w:t>科学技术支出（类）</w:t>
      </w:r>
      <w:r>
        <w:rPr>
          <w:rFonts w:hint="eastAsia" w:ascii="仿宋_GB2312" w:eastAsia="仿宋_GB2312"/>
          <w:kern w:val="2"/>
          <w:sz w:val="32"/>
          <w:szCs w:val="32"/>
          <w:lang w:val="zh-CN"/>
        </w:rPr>
        <w:t>3,466.23</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r>
        <w:rPr>
          <w:rFonts w:ascii="仿宋_GB2312" w:eastAsia="仿宋_GB2312"/>
          <w:kern w:val="2"/>
          <w:sz w:val="32"/>
          <w:szCs w:val="32"/>
        </w:rPr>
        <w:t>%</w:t>
      </w:r>
      <w:r>
        <w:rPr>
          <w:rFonts w:hint="eastAsia" w:ascii="仿宋_GB2312" w:eastAsia="仿宋_GB2312"/>
          <w:kern w:val="2"/>
          <w:sz w:val="32"/>
          <w:szCs w:val="32"/>
          <w:lang w:eastAsia="zh-CN"/>
        </w:rPr>
        <w:t>。</w:t>
      </w:r>
    </w:p>
    <w:p>
      <w:pPr>
        <w:ind w:firstLine="640" w:firstLineChars="200"/>
        <w:jc w:val="left"/>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eastAsia="仿宋_GB2312"/>
          <w:sz w:val="32"/>
          <w:szCs w:val="32"/>
          <w:lang w:val="zh-CN"/>
        </w:rPr>
      </w:pPr>
      <w:r>
        <w:rPr>
          <w:rFonts w:hint="eastAsia" w:eastAsia="仿宋_GB2312"/>
          <w:sz w:val="32"/>
          <w:szCs w:val="32"/>
        </w:rPr>
        <w:t>1.科学技术支出（类）应用研究（款）机构运行（项）:支出决算数为2,745.95万元，比上年决算增加67.93万元，增长2.54%，主要原因是：</w:t>
      </w:r>
      <w:r>
        <w:rPr>
          <w:rFonts w:hint="eastAsia" w:eastAsia="仿宋_GB2312"/>
          <w:sz w:val="32"/>
          <w:szCs w:val="32"/>
          <w:lang w:val="zh-CN"/>
        </w:rPr>
        <w:t>我单位重视科研发展</w:t>
      </w:r>
      <w:r>
        <w:rPr>
          <w:rFonts w:hint="eastAsia" w:eastAsia="仿宋_GB2312"/>
          <w:sz w:val="32"/>
          <w:szCs w:val="32"/>
        </w:rPr>
        <w:t>，科学技术类项目拨付项目收入增加则支出同步增长</w:t>
      </w:r>
      <w:r>
        <w:rPr>
          <w:rFonts w:hint="eastAsia" w:eastAsia="仿宋_GB2312"/>
          <w:sz w:val="32"/>
          <w:szCs w:val="32"/>
          <w:lang w:val="zh-CN"/>
        </w:rPr>
        <w:t>。</w:t>
      </w:r>
    </w:p>
    <w:p>
      <w:pPr>
        <w:ind w:firstLine="640" w:firstLineChars="200"/>
        <w:rPr>
          <w:rFonts w:eastAsia="仿宋_GB2312"/>
          <w:sz w:val="32"/>
          <w:szCs w:val="32"/>
        </w:rPr>
      </w:pPr>
      <w:r>
        <w:rPr>
          <w:rFonts w:hint="eastAsia" w:eastAsia="仿宋_GB2312"/>
          <w:sz w:val="32"/>
          <w:szCs w:val="32"/>
        </w:rPr>
        <w:t>2.科学技术支出（类）其他科学技术支出（款）其他科学技术支出（项）:支出决算数为720.28万元，比上年决算增加705.88万元，增长4901.95%，主要原因是：2023年度财政拨付其他科学技术类项目，项目数量及金额都较上年增加</w:t>
      </w:r>
      <w:r>
        <w:rPr>
          <w:rFonts w:hint="eastAsia" w:eastAsia="仿宋_GB2312"/>
          <w:sz w:val="32"/>
          <w:szCs w:val="32"/>
          <w:lang w:val="zh-CN"/>
        </w:rPr>
        <w:t>。</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2,745.95万元，其中：人员经费2,525.31万元，包括：基本工资、津贴补贴、绩效工资、机关事业单位基本养老保险缴费、职业年金缴费、职工基本医疗保险缴费、公务员医疗补助缴费、其他社会保障缴费、住房公积金、离休费、退休费、抚恤金。</w:t>
      </w:r>
    </w:p>
    <w:p>
      <w:pPr>
        <w:ind w:firstLine="640" w:firstLineChars="200"/>
        <w:jc w:val="left"/>
        <w:rPr>
          <w:rFonts w:ascii="仿宋_GB2312" w:eastAsia="仿宋_GB2312"/>
          <w:sz w:val="32"/>
          <w:szCs w:val="32"/>
          <w:highlight w:val="red"/>
        </w:rPr>
      </w:pPr>
      <w:r>
        <w:rPr>
          <w:rFonts w:hint="eastAsia" w:ascii="仿宋_GB2312" w:eastAsia="仿宋_GB2312"/>
          <w:sz w:val="32"/>
          <w:szCs w:val="32"/>
        </w:rPr>
        <w:t>公用经费220.65万元，包括：办公费、水费、电费、邮电费、工会经费、福利费。</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主要原因是：我单位无财政拨款“三公”经费支出。其中：因公出国（境）费支出0.00万元，占0.00%，比上年增加0.00万元，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主要原因是：我单位无因公出国（境）费支出；公务用车购置及运行维护费支出0.00万元，占0.00%，比上年增加0.00万元，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主要原因是：我单位无公务用车购置及运行维护费支出；公务接待费支出0.00万元，占0.00%，比上年增加0.00万元，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主要原因是：我单位无公务接待费支出。</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因公出国（境）费支出0.00万元，开支内容包括我单位无因公出国（境）费。单位全年安排的因公出国（境）团组0个，因公出国（境）0人次。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我单位无公务用车运行维护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原因是：我单位无车辆。</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公务接待费0.00万元，开支内容包括我单位无公务接待费。单位全年安排的国内公务接待0批次，0人次。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预算数0.00万元，决算数0.00万元，预决算差异率0.00%，主要原因是：我单位无财政拨款“三公”经费支出。其中：因公出国（境）费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0.00万元，决算数0.00万元，预决算差异率0.00%，主要原因是：我单位无因公出国（境）费支出；公务用车购置费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预算数0.00万元，决算数0.00万元，预决算差异率0.00%，主要原因是：我单位无公务用车购置费；公务用车运行费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预算数0.00万元，决算数0.00万元，预决算差异率0.00%，主要原因是：我单位无公务用车运行维护费；公务接待费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预算数0.00万元，决算数0.00万元，预决算差异率0.00%，主要原因是：我单位无公务接待费。</w:t>
      </w:r>
    </w:p>
    <w:p>
      <w:pPr>
        <w:ind w:firstLine="640" w:firstLineChars="200"/>
        <w:jc w:val="left"/>
        <w:outlineLvl w:val="1"/>
        <w:rPr>
          <w:rFonts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pPr>
        <w:ind w:firstLine="640" w:firstLineChars="200"/>
        <w:jc w:val="left"/>
        <w:rPr>
          <w:rFonts w:eastAsia="仿宋_GB2312"/>
          <w:sz w:val="32"/>
          <w:szCs w:val="32"/>
          <w:lang w:val="zh-CN"/>
        </w:rPr>
      </w:pPr>
      <w:bookmarkStart w:id="24" w:name="_Toc227"/>
      <w:bookmarkStart w:id="25" w:name="_Toc26704"/>
      <w:r>
        <w:rPr>
          <w:rFonts w:hint="eastAsia" w:eastAsia="仿宋_GB2312"/>
          <w:sz w:val="32"/>
          <w:szCs w:val="32"/>
          <w:lang w:val="zh-CN"/>
        </w:rPr>
        <w:t>2023年度新疆维吾尔自治区中医药研究院（事业单位）公用经费支出220.65万元，比上年减少16.57万元，下降6.99%，主要原因是：</w:t>
      </w:r>
      <w:r>
        <w:rPr>
          <w:rFonts w:hint="eastAsia" w:eastAsia="仿宋_GB2312"/>
          <w:sz w:val="32"/>
          <w:szCs w:val="32"/>
          <w:lang w:val="en-US" w:eastAsia="zh-CN"/>
        </w:rPr>
        <w:t>我单位通过厉行节约和加强预算管理，严格控制公用经费支出</w:t>
      </w:r>
      <w:r>
        <w:rPr>
          <w:rFonts w:hint="eastAsia" w:eastAsia="仿宋_GB2312"/>
          <w:sz w:val="32"/>
          <w:szCs w:val="32"/>
          <w:lang w:val="zh-CN"/>
        </w:rPr>
        <w:t>。</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eastAsia="仿宋_GB2312"/>
          <w:sz w:val="32"/>
          <w:szCs w:val="32"/>
          <w:lang w:val="zh-CN"/>
        </w:rPr>
      </w:pPr>
      <w:r>
        <w:rPr>
          <w:rFonts w:hint="eastAsia" w:eastAsia="仿宋_GB2312"/>
          <w:sz w:val="32"/>
          <w:szCs w:val="32"/>
          <w:lang w:val="zh-CN"/>
        </w:rPr>
        <w:t>2023年度政府采购支出总额0.00万元，其中：政府采购货物支出0.00万元、政府采购工程支出0.00万元、政府采购服务支出0.00万元。</w:t>
      </w:r>
    </w:p>
    <w:p>
      <w:pPr>
        <w:ind w:firstLine="640" w:firstLineChars="200"/>
        <w:jc w:val="left"/>
        <w:rPr>
          <w:rFonts w:eastAsia="仿宋_GB2312"/>
          <w:sz w:val="32"/>
          <w:szCs w:val="32"/>
        </w:rPr>
      </w:pPr>
      <w:r>
        <w:rPr>
          <w:rFonts w:hint="eastAsia" w:eastAsia="仿宋_GB2312"/>
          <w:sz w:val="32"/>
          <w:szCs w:val="32"/>
          <w:lang w:val="zh-CN"/>
        </w:rPr>
        <w:t>授予中小企业合同金额0.00万元，占政府采购支出总额的0.00</w:t>
      </w:r>
      <w:r>
        <w:rPr>
          <w:rFonts w:eastAsia="仿宋_GB2312"/>
          <w:sz w:val="32"/>
          <w:szCs w:val="32"/>
          <w:lang w:val="zh-CN"/>
        </w:rPr>
        <w:t>%</w:t>
      </w:r>
      <w:r>
        <w:rPr>
          <w:rFonts w:hint="eastAsia" w:eastAsia="仿宋_GB2312"/>
          <w:sz w:val="32"/>
          <w:szCs w:val="32"/>
          <w:lang w:val="zh-CN"/>
        </w:rPr>
        <w:t>，其中：授予小微企业合同金额0.00万元，占政府采购支出总额的0.00</w:t>
      </w:r>
      <w:r>
        <w:rPr>
          <w:rFonts w:eastAsia="仿宋_GB2312"/>
          <w:sz w:val="32"/>
          <w:szCs w:val="32"/>
          <w:lang w:val="zh-CN"/>
        </w:rPr>
        <w:t>%</w:t>
      </w:r>
      <w:r>
        <w:rPr>
          <w:rFonts w:hint="eastAsia" w:eastAsia="仿宋_GB2312"/>
          <w:sz w:val="32"/>
          <w:szCs w:val="32"/>
        </w:rPr>
        <w:t>。</w:t>
      </w:r>
    </w:p>
    <w:p>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pPr>
        <w:ind w:firstLine="640" w:firstLineChars="200"/>
        <w:jc w:val="left"/>
        <w:rPr>
          <w:rFonts w:eastAsia="仿宋_GB2312"/>
          <w:sz w:val="32"/>
          <w:szCs w:val="32"/>
          <w:lang w:val="zh-CN"/>
        </w:rPr>
      </w:pPr>
      <w:r>
        <w:rPr>
          <w:rFonts w:hint="eastAsia" w:eastAsia="仿宋_GB2312"/>
          <w:sz w:val="32"/>
          <w:szCs w:val="32"/>
        </w:rPr>
        <w:t>截至2023</w:t>
      </w:r>
      <w:r>
        <w:rPr>
          <w:rFonts w:hint="eastAsia" w:eastAsia="仿宋_GB2312"/>
          <w:sz w:val="32"/>
          <w:szCs w:val="32"/>
          <w:lang w:val="zh-CN"/>
        </w:rPr>
        <w:t>年</w:t>
      </w:r>
      <w:r>
        <w:rPr>
          <w:rFonts w:hint="eastAsia" w:eastAsia="仿宋_GB2312"/>
          <w:sz w:val="32"/>
          <w:szCs w:val="32"/>
        </w:rPr>
        <w:t>12月31日</w:t>
      </w:r>
      <w:r>
        <w:rPr>
          <w:rFonts w:hint="eastAsia" w:eastAsia="仿宋_GB2312"/>
          <w:sz w:val="32"/>
          <w:szCs w:val="32"/>
          <w:lang w:val="zh-CN"/>
        </w:rPr>
        <w:t>，</w:t>
      </w:r>
      <w:r>
        <w:rPr>
          <w:rFonts w:hint="eastAsia" w:eastAsia="仿宋_GB2312"/>
          <w:sz w:val="32"/>
          <w:szCs w:val="32"/>
        </w:rPr>
        <w:t>固定资产原值</w:t>
      </w:r>
      <w:r>
        <w:rPr>
          <w:rFonts w:hint="eastAsia" w:eastAsia="仿宋_GB2312"/>
          <w:sz w:val="32"/>
          <w:szCs w:val="32"/>
          <w:lang w:val="zh-CN"/>
        </w:rPr>
        <w:t>83.19</w:t>
      </w:r>
      <w:r>
        <w:rPr>
          <w:rFonts w:hint="eastAsia" w:eastAsia="仿宋_GB2312"/>
          <w:sz w:val="32"/>
          <w:szCs w:val="32"/>
        </w:rPr>
        <w:t>万元，房</w:t>
      </w:r>
      <w:r>
        <w:rPr>
          <w:rFonts w:hint="eastAsia" w:eastAsia="仿宋_GB2312"/>
          <w:sz w:val="32"/>
          <w:szCs w:val="32"/>
          <w:lang w:val="zh-CN"/>
        </w:rPr>
        <w:t>屋0.0平方米，价值0.00万元。车辆0辆，价值0.00万元，其中：副部（省）级及以上领导用车0辆、主要</w:t>
      </w:r>
      <w:r>
        <w:rPr>
          <w:rFonts w:hint="eastAsia" w:eastAsia="仿宋_GB2312"/>
          <w:sz w:val="32"/>
          <w:szCs w:val="32"/>
        </w:rPr>
        <w:t>负责人</w:t>
      </w:r>
      <w:r>
        <w:rPr>
          <w:rFonts w:hint="eastAsia" w:eastAsia="仿宋_GB2312"/>
          <w:sz w:val="32"/>
          <w:szCs w:val="32"/>
          <w:lang w:val="zh-CN"/>
        </w:rPr>
        <w:t>用车0辆、机要通信用车0辆、应急保障用车0辆、执法执勤用车0辆、特种专业技术用车0辆、离退休干部</w:t>
      </w:r>
      <w:r>
        <w:rPr>
          <w:rFonts w:hint="eastAsia" w:eastAsia="仿宋_GB2312"/>
          <w:sz w:val="32"/>
          <w:szCs w:val="32"/>
        </w:rPr>
        <w:t>服务</w:t>
      </w:r>
      <w:r>
        <w:rPr>
          <w:rFonts w:hint="eastAsia" w:eastAsia="仿宋_GB2312"/>
          <w:sz w:val="32"/>
          <w:szCs w:val="32"/>
          <w:lang w:val="zh-CN"/>
        </w:rPr>
        <w:t>用车0辆、其他用车0辆，其他用车主要是：我单位无其他用车；单价100万元（含）以上设备（不含车辆）0</w:t>
      </w:r>
      <w:r>
        <w:rPr>
          <w:rFonts w:hint="eastAsia" w:eastAsia="仿宋_GB2312"/>
          <w:sz w:val="32"/>
          <w:szCs w:val="32"/>
        </w:rPr>
        <w:t>台</w:t>
      </w:r>
      <w:r>
        <w:rPr>
          <w:rFonts w:hint="eastAsia" w:eastAsia="仿宋_GB2312"/>
          <w:sz w:val="32"/>
          <w:szCs w:val="32"/>
          <w:lang w:val="zh-CN"/>
        </w:rPr>
        <w:t>。</w:t>
      </w:r>
    </w:p>
    <w:p>
      <w:pPr>
        <w:ind w:firstLine="640" w:firstLineChars="200"/>
        <w:jc w:val="left"/>
        <w:outlineLvl w:val="1"/>
        <w:rPr>
          <w:rFonts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jc w:val="left"/>
        <w:rPr>
          <w:rFonts w:hint="eastAsia" w:ascii="仿宋_GB2312" w:eastAsia="仿宋_GB2312"/>
          <w:sz w:val="32"/>
          <w:szCs w:val="32"/>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default" w:ascii="仿宋_GB2312" w:hAnsi="仿宋_GB2312" w:eastAsia="仿宋_GB2312" w:cs="仿宋_GB2312"/>
          <w:color w:val="auto"/>
          <w:kern w:val="0"/>
          <w:sz w:val="32"/>
          <w:szCs w:val="32"/>
          <w:highlight w:val="none"/>
        </w:rPr>
        <w:t>0</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w:t>
      </w:r>
      <w:r>
        <w:rPr>
          <w:rFonts w:hint="default" w:ascii="仿宋_GB2312" w:eastAsia="仿宋_GB2312"/>
          <w:color w:val="auto"/>
          <w:sz w:val="32"/>
          <w:szCs w:val="32"/>
          <w:highlight w:val="none"/>
          <w:lang w:eastAsia="zh-CN"/>
        </w:rPr>
        <w:t>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w:t>
      </w:r>
      <w:r>
        <w:rPr>
          <w:rFonts w:hint="default" w:ascii="仿宋_GB2312" w:eastAsia="仿宋_GB2312"/>
          <w:color w:val="auto"/>
          <w:sz w:val="32"/>
          <w:szCs w:val="32"/>
          <w:highlight w:val="none"/>
          <w:lang w:eastAsia="zh-CN"/>
        </w:rPr>
        <w:t>0</w:t>
      </w:r>
      <w:r>
        <w:rPr>
          <w:rFonts w:hint="eastAsia" w:ascii="仿宋_GB2312" w:eastAsia="仿宋_GB2312"/>
          <w:color w:val="auto"/>
          <w:sz w:val="32"/>
          <w:szCs w:val="32"/>
          <w:highlight w:val="none"/>
        </w:rPr>
        <w:t>万元</w:t>
      </w:r>
      <w:r>
        <w:rPr>
          <w:rFonts w:hint="default" w:ascii="仿宋_GB2312" w:eastAsia="仿宋_GB2312"/>
          <w:color w:val="auto"/>
          <w:sz w:val="32"/>
          <w:szCs w:val="32"/>
          <w:highlight w:val="none"/>
        </w:rPr>
        <w:t>，我单位整体支出绩效自评是由新疆维吾尔自治区科学技术厅（部门）完成</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sz w:val="32"/>
          <w:szCs w:val="32"/>
        </w:rPr>
        <w:t>预算绩效评价项目1个，全年预算数1200万元，</w:t>
      </w:r>
      <w:r>
        <w:rPr>
          <w:rFonts w:hint="eastAsia" w:ascii="仿宋_GB2312" w:hAnsi="仿宋_GB2312" w:eastAsia="仿宋_GB2312" w:cs="仿宋_GB2312"/>
          <w:kern w:val="0"/>
          <w:sz w:val="32"/>
          <w:szCs w:val="32"/>
        </w:rPr>
        <w:t>全年执行数</w:t>
      </w:r>
      <w:r>
        <w:rPr>
          <w:rFonts w:hint="eastAsia" w:ascii="仿宋_GB2312" w:hAnsi="仿宋_GB2312" w:eastAsia="仿宋_GB2312" w:cs="仿宋_GB2312"/>
          <w:kern w:val="0"/>
          <w:sz w:val="32"/>
          <w:szCs w:val="32"/>
          <w:lang w:val="en-US" w:eastAsia="zh-CN"/>
        </w:rPr>
        <w:t>1200</w:t>
      </w:r>
      <w:r>
        <w:rPr>
          <w:rFonts w:hint="eastAsia" w:ascii="仿宋_GB2312" w:hAnsi="仿宋_GB2312" w:eastAsia="仿宋_GB2312" w:cs="仿宋_GB2312"/>
          <w:kern w:val="0"/>
          <w:sz w:val="32"/>
          <w:szCs w:val="32"/>
        </w:rPr>
        <w:t>万元</w:t>
      </w:r>
      <w:r>
        <w:rPr>
          <w:rFonts w:hint="eastAsia" w:ascii="仿宋_GB2312" w:eastAsia="仿宋_GB2312"/>
          <w:sz w:val="32"/>
          <w:szCs w:val="32"/>
        </w:rPr>
        <w:t>。预算绩效管理取得的成效：一是健全绩效管理工作机制，明确职责分工；二是加强事中绩效跟踪监控。发现的问题及原因：一是认识性不足；二是评价指标体系有待健全完善。下一步改进措施：一是提高认识；二是完善符合项目本身的指标体系。具体项目自评情况附绩效自评表及自评报告。</w:t>
      </w:r>
    </w:p>
    <w:p>
      <w:pPr>
        <w:numPr>
          <w:ilvl w:val="0"/>
          <w:numId w:val="2"/>
        </w:num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其他需说明的事项</w:t>
      </w:r>
      <w:bookmarkStart w:id="30" w:name="_Toc3250"/>
      <w:bookmarkStart w:id="31" w:name="_Toc24143"/>
    </w:p>
    <w:p>
      <w:pPr>
        <w:numPr>
          <w:numId w:val="0"/>
        </w:numPr>
        <w:ind w:firstLine="640" w:firstLineChars="200"/>
        <w:jc w:val="left"/>
        <w:rPr>
          <w:rFonts w:ascii="黑体" w:hAnsi="黑体" w:eastAsia="黑体"/>
          <w:sz w:val="32"/>
          <w:szCs w:val="32"/>
        </w:rPr>
      </w:pPr>
      <w:r>
        <w:rPr>
          <w:rFonts w:hint="default" w:ascii="仿宋_GB2312" w:hAnsi="仿宋_GB2312" w:eastAsia="仿宋_GB2312" w:cs="仿宋_GB2312"/>
          <w:kern w:val="0"/>
          <w:sz w:val="32"/>
          <w:szCs w:val="32"/>
          <w:lang w:val="en-US"/>
        </w:rPr>
        <w:t>2023</w:t>
      </w:r>
      <w:r>
        <w:rPr>
          <w:rFonts w:hint="eastAsia" w:ascii="仿宋_GB2312" w:hAnsi="仿宋_GB2312" w:eastAsia="仿宋_GB2312" w:cs="仿宋_GB2312"/>
          <w:kern w:val="0"/>
          <w:sz w:val="32"/>
          <w:szCs w:val="32"/>
          <w:lang w:val="en-US" w:eastAsia="zh-CN"/>
        </w:rPr>
        <w:t>年度本单位政府采购支出总额为</w:t>
      </w:r>
      <w:r>
        <w:rPr>
          <w:rFonts w:hint="default" w:ascii="仿宋_GB2312" w:hAnsi="仿宋_GB2312" w:eastAsia="仿宋_GB2312" w:cs="仿宋_GB2312"/>
          <w:kern w:val="0"/>
          <w:sz w:val="32"/>
          <w:szCs w:val="32"/>
          <w:lang w:val="en-US" w:eastAsia="zh-CN"/>
        </w:rPr>
        <w:t>0.00</w:t>
      </w:r>
      <w:r>
        <w:rPr>
          <w:rFonts w:hint="eastAsia" w:ascii="仿宋_GB2312" w:hAnsi="仿宋_GB2312" w:eastAsia="仿宋_GB2312" w:cs="仿宋_GB2312"/>
          <w:kern w:val="0"/>
          <w:sz w:val="32"/>
          <w:szCs w:val="32"/>
          <w:lang w:val="en-US" w:eastAsia="zh-CN"/>
        </w:rPr>
        <w:t>万元，授予中小企业合同金额、授予小微企业合同金额</w:t>
      </w:r>
      <w:r>
        <w:rPr>
          <w:rFonts w:hint="default" w:ascii="仿宋_GB2312" w:hAnsi="仿宋_GB2312" w:eastAsia="仿宋_GB2312" w:cs="仿宋_GB2312"/>
          <w:kern w:val="0"/>
          <w:sz w:val="32"/>
          <w:szCs w:val="32"/>
          <w:lang w:val="en-US" w:eastAsia="zh-CN"/>
        </w:rPr>
        <w:t>0.0</w:t>
      </w:r>
      <w:bookmarkStart w:id="48" w:name="_GoBack"/>
      <w:bookmarkEnd w:id="48"/>
      <w:r>
        <w:rPr>
          <w:rFonts w:hint="default" w:ascii="仿宋_GB2312" w:hAnsi="仿宋_GB2312" w:eastAsia="仿宋_GB2312" w:cs="仿宋_GB2312"/>
          <w:kern w:val="0"/>
          <w:sz w:val="32"/>
          <w:szCs w:val="32"/>
          <w:lang w:val="en-US" w:eastAsia="zh-CN"/>
        </w:rPr>
        <w:t>0</w:t>
      </w:r>
      <w:r>
        <w:rPr>
          <w:rFonts w:hint="eastAsia" w:ascii="仿宋_GB2312" w:hAnsi="仿宋_GB2312" w:eastAsia="仿宋_GB2312" w:cs="仿宋_GB2312"/>
          <w:kern w:val="0"/>
          <w:sz w:val="32"/>
          <w:szCs w:val="32"/>
          <w:lang w:val="en-US" w:eastAsia="zh-CN"/>
        </w:rPr>
        <w:t>万元。</w:t>
      </w:r>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pPr>
        <w:ind w:firstLine="640" w:firstLineChars="200"/>
        <w:outlineLvl w:val="1"/>
        <w:rPr>
          <w:rFonts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pPr>
        <w:ind w:firstLine="640" w:firstLineChars="200"/>
        <w:outlineLvl w:val="1"/>
        <w:rPr>
          <w:rFonts w:ascii="黑体" w:hAnsi="黑体" w:eastAsia="仿宋_GB2312" w:cs="宋体"/>
          <w:bCs/>
          <w:kern w:val="0"/>
          <w:sz w:val="32"/>
          <w:szCs w:val="32"/>
        </w:rPr>
      </w:pPr>
      <w:bookmarkStart w:id="36" w:name="_Toc21304"/>
      <w:bookmarkStart w:id="37" w:name="_Toc32434"/>
      <w:r>
        <w:rPr>
          <w:rFonts w:hint="eastAsia" w:ascii="黑体" w:hAnsi="黑体" w:eastAsia="仿宋_GB2312" w:cs="宋体"/>
          <w:bCs/>
          <w:kern w:val="0"/>
          <w:sz w:val="32"/>
          <w:szCs w:val="32"/>
        </w:rPr>
        <w:t>三、《支出决算表》</w:t>
      </w:r>
      <w:bookmarkEnd w:id="36"/>
      <w:bookmarkEnd w:id="37"/>
    </w:p>
    <w:p>
      <w:pPr>
        <w:ind w:firstLine="640" w:firstLineChars="200"/>
        <w:outlineLvl w:val="1"/>
        <w:rPr>
          <w:rFonts w:ascii="黑体" w:hAnsi="黑体" w:eastAsia="仿宋_GB2312" w:cs="宋体"/>
          <w:bCs/>
          <w:kern w:val="0"/>
          <w:sz w:val="32"/>
          <w:szCs w:val="32"/>
        </w:rPr>
      </w:pPr>
      <w:bookmarkStart w:id="38" w:name="_Toc28786"/>
      <w:bookmarkStart w:id="39" w:name="_Toc14238"/>
      <w:r>
        <w:rPr>
          <w:rFonts w:hint="eastAsia" w:ascii="黑体" w:hAnsi="黑体" w:eastAsia="仿宋_GB2312" w:cs="宋体"/>
          <w:bCs/>
          <w:kern w:val="0"/>
          <w:sz w:val="32"/>
          <w:szCs w:val="32"/>
        </w:rPr>
        <w:t>四、《财政拨款收入支出决算总表》</w:t>
      </w:r>
      <w:bookmarkEnd w:id="38"/>
      <w:bookmarkEnd w:id="39"/>
    </w:p>
    <w:p>
      <w:pPr>
        <w:ind w:firstLine="640" w:firstLineChars="200"/>
        <w:outlineLvl w:val="1"/>
        <w:rPr>
          <w:rFonts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pPr>
        <w:ind w:firstLine="640" w:firstLineChars="200"/>
        <w:outlineLvl w:val="1"/>
        <w:rPr>
          <w:rFonts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pPr>
        <w:ind w:firstLine="640" w:firstLineChars="200"/>
        <w:outlineLvl w:val="1"/>
        <w:rPr>
          <w:rFonts w:ascii="黑体" w:hAnsi="黑体" w:eastAsia="仿宋_GB2312" w:cs="宋体"/>
          <w:bCs/>
          <w:kern w:val="0"/>
          <w:sz w:val="32"/>
          <w:szCs w:val="32"/>
        </w:rPr>
      </w:pPr>
      <w:bookmarkStart w:id="46" w:name="_Toc5453"/>
      <w:bookmarkStart w:id="47" w:name="_Toc7643"/>
      <w:r>
        <w:rPr>
          <w:rFonts w:hint="eastAsia" w:ascii="黑体" w:hAnsi="黑体" w:eastAsia="仿宋_GB2312" w:cs="宋体"/>
          <w:bCs/>
          <w:kern w:val="0"/>
          <w:sz w:val="32"/>
          <w:szCs w:val="32"/>
        </w:rPr>
        <w:t>八、《政府性基金预算财政拨款收入支出决算表》</w:t>
      </w:r>
      <w:bookmarkEnd w:id="46"/>
      <w:bookmarkEnd w:id="47"/>
    </w:p>
    <w:p>
      <w:pPr>
        <w:ind w:firstLine="640" w:firstLineChars="200"/>
        <w:outlineLvl w:val="1"/>
        <w:rPr>
          <w:rFonts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DesQ8x4QEAAMwDAAAOAAAA&#10;AAAAAAEAIAAAAB4BAABkcnMvZTJvRG9jLnhtbFBLBQYAAAAABgAGAFkBAABx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636668"/>
    <w:multiLevelType w:val="singleLevel"/>
    <w:tmpl w:val="99636668"/>
    <w:lvl w:ilvl="0" w:tentative="0">
      <w:start w:val="12"/>
      <w:numFmt w:val="chineseCounting"/>
      <w:suff w:val="nothing"/>
      <w:lvlText w:val="%1、"/>
      <w:lvlJc w:val="left"/>
      <w:rPr>
        <w:rFonts w:hint="eastAsia"/>
      </w:rPr>
    </w:lvl>
  </w:abstractNum>
  <w:abstractNum w:abstractNumId="1">
    <w:nsid w:val="103F031D"/>
    <w:multiLevelType w:val="singleLevel"/>
    <w:tmpl w:val="103F031D"/>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 w:name="KSO_WPS_MARK_KEY" w:val="41ee2a61-2d54-4f93-83be-afdb9a40d732"/>
  </w:docVars>
  <w:rsids>
    <w:rsidRoot w:val="00C55D26"/>
    <w:rsid w:val="0010481E"/>
    <w:rsid w:val="00124BE3"/>
    <w:rsid w:val="0013199C"/>
    <w:rsid w:val="001C1DA0"/>
    <w:rsid w:val="001D79B7"/>
    <w:rsid w:val="00213C59"/>
    <w:rsid w:val="00243A64"/>
    <w:rsid w:val="002A0789"/>
    <w:rsid w:val="003210CE"/>
    <w:rsid w:val="003F6FBD"/>
    <w:rsid w:val="003F7286"/>
    <w:rsid w:val="0040730A"/>
    <w:rsid w:val="00484286"/>
    <w:rsid w:val="004876C1"/>
    <w:rsid w:val="00696F13"/>
    <w:rsid w:val="006C5BB2"/>
    <w:rsid w:val="007327FC"/>
    <w:rsid w:val="0080345F"/>
    <w:rsid w:val="008467F3"/>
    <w:rsid w:val="00970BB4"/>
    <w:rsid w:val="00A25E24"/>
    <w:rsid w:val="00AD4320"/>
    <w:rsid w:val="00AF6D7C"/>
    <w:rsid w:val="00B70D59"/>
    <w:rsid w:val="00BA5598"/>
    <w:rsid w:val="00BD4FA8"/>
    <w:rsid w:val="00C55D26"/>
    <w:rsid w:val="00DF495B"/>
    <w:rsid w:val="00EF4491"/>
    <w:rsid w:val="00F52A8D"/>
    <w:rsid w:val="00F81219"/>
    <w:rsid w:val="019404F8"/>
    <w:rsid w:val="02BD3108"/>
    <w:rsid w:val="02F73D26"/>
    <w:rsid w:val="034D4FEF"/>
    <w:rsid w:val="035D1785"/>
    <w:rsid w:val="039F47CE"/>
    <w:rsid w:val="03E05CE8"/>
    <w:rsid w:val="03F973EE"/>
    <w:rsid w:val="043E5B56"/>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E70699"/>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F1892"/>
    <w:rsid w:val="240F49A9"/>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B94DBF"/>
    <w:rsid w:val="2C6F314E"/>
    <w:rsid w:val="2CC206BE"/>
    <w:rsid w:val="2D1136DF"/>
    <w:rsid w:val="2D20606D"/>
    <w:rsid w:val="2DB87198"/>
    <w:rsid w:val="2DB93C54"/>
    <w:rsid w:val="2E3D144C"/>
    <w:rsid w:val="2E891204"/>
    <w:rsid w:val="2F3F0A28"/>
    <w:rsid w:val="2F7046B7"/>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274BD8"/>
    <w:rsid w:val="434E6957"/>
    <w:rsid w:val="43BA0E31"/>
    <w:rsid w:val="43C15147"/>
    <w:rsid w:val="43E14DD2"/>
    <w:rsid w:val="43F800E9"/>
    <w:rsid w:val="443A7E4B"/>
    <w:rsid w:val="44EC29FE"/>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5A1D2A"/>
    <w:rsid w:val="54C811C0"/>
    <w:rsid w:val="556A442D"/>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60780B"/>
    <w:rsid w:val="5AB34579"/>
    <w:rsid w:val="5AFC6609"/>
    <w:rsid w:val="5B113480"/>
    <w:rsid w:val="5B7375A4"/>
    <w:rsid w:val="5BD456CE"/>
    <w:rsid w:val="5C0D1F49"/>
    <w:rsid w:val="5CA2292C"/>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18E3791"/>
    <w:rsid w:val="61947DCA"/>
    <w:rsid w:val="61A46A97"/>
    <w:rsid w:val="61D1382F"/>
    <w:rsid w:val="61F114A2"/>
    <w:rsid w:val="62512BB4"/>
    <w:rsid w:val="625D7D1A"/>
    <w:rsid w:val="62DD7D21"/>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AFB233D"/>
    <w:rsid w:val="6B68175F"/>
    <w:rsid w:val="6B7848CC"/>
    <w:rsid w:val="6BFD799F"/>
    <w:rsid w:val="6C4A2E5A"/>
    <w:rsid w:val="6C8138D0"/>
    <w:rsid w:val="6CEF0725"/>
    <w:rsid w:val="6D4B2604"/>
    <w:rsid w:val="6D8030E4"/>
    <w:rsid w:val="6E0E35C4"/>
    <w:rsid w:val="6E0F7A08"/>
    <w:rsid w:val="6E3947F5"/>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27B234E"/>
    <w:rsid w:val="72AA1FCD"/>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5264</Words>
  <Characters>5843</Characters>
  <Lines>47</Lines>
  <Paragraphs>13</Paragraphs>
  <TotalTime>4</TotalTime>
  <ScaleCrop>false</ScaleCrop>
  <LinksUpToDate>false</LinksUpToDate>
  <CharactersWithSpaces>5858</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2024-08-20T11:28:00Z</dcterms:created>
  <dc:creator>GXR</dc:creator>
  <cp:lastModifiedBy>Administrator</cp:lastModifiedBy>
  <dcterms:modified xsi:type="dcterms:W3CDTF">2024-10-30T01:42:22Z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7795B5AF4DE1479AA324D3E73367256B_13</vt:lpwstr>
  </property>
</Properties>
</file>