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新疆维吾尔自治区和田蚕桑科学研究所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pStyle w:val="15"/>
        <w:spacing w:line="560" w:lineRule="exact"/>
        <w:ind w:firstLine="560"/>
        <w:rPr>
          <w:rFonts w:hint="eastAsia" w:ascii="仿宋_GB2312" w:eastAsia="仿宋_GB2312"/>
          <w:color w:val="auto"/>
          <w:sz w:val="32"/>
          <w:szCs w:val="32"/>
          <w:highlight w:val="none"/>
        </w:rPr>
      </w:pPr>
      <w:r>
        <w:rPr>
          <w:rFonts w:hint="eastAsia" w:ascii="仿宋_GB2312" w:hAnsi="Times New Roman" w:eastAsia="仿宋_GB2312" w:cs="Times New Roman"/>
          <w:color w:val="auto"/>
          <w:kern w:val="2"/>
          <w:sz w:val="32"/>
          <w:szCs w:val="32"/>
          <w:highlight w:val="none"/>
          <w:lang w:val="en-US" w:eastAsia="zh-CN" w:bidi="ar-SA"/>
        </w:rPr>
        <w:t>我单位业务以干旱地区蚕桑实用技术研究为主，同时担负新疆桑、蚕品种选育及繁育推广，蚕桑综合利用研究开发、蚕桑技术人员培训、蚕桑科技咨询等职责。通过对新疆桑、蚕基因资源进行高效利用研究，研制开发桑叶茶、桑椹膏、桑椹干、桑椹红酒等产品，食用菌蘑菇种植扶贫工作有效增加了贫困户收入，助力脱贫攻坚，推动新疆蚕桑“生态-经济”一体化进程。未来，将通过项目实施及“产、学、研”合作，重点在药桑繁育、人工饲料育、食用菌研究等领域进行研究，形成新疆蚕桑科技清晰独特的研究路线，进一步实现蚕桑成果多元化、科技化、特色化的风格，加大成果转化力度，促进新疆蚕桑产业发展，为新疆蚕桑科技做出贡献</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新疆维吾尔自治区和田蚕桑科学研究所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90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39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51</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个处室，分别是：行政办公室、桑树技术科、家蚕技术科、综合利用科</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1,584.57万元，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1,459.14万元，使用非财政拨款结余0.00万元，年初结转和结余125.43万元。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1,584.57万元，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1,506.86万元，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0.00万元，年末结转和结余77.71万元。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增加13.43万元</w:t>
      </w:r>
      <w:r>
        <w:rPr>
          <w:rFonts w:hint="eastAsia" w:ascii="仿宋_GB2312" w:eastAsia="仿宋_GB2312"/>
          <w:color w:val="auto"/>
          <w:spacing w:val="0"/>
          <w:sz w:val="32"/>
          <w:szCs w:val="32"/>
          <w:highlight w:val="none"/>
          <w:lang w:eastAsia="zh-CN"/>
        </w:rPr>
        <w:t>，增长0.85%，主要原因是：因单位处于边远地区，艰边人员薪资调整，且在</w:t>
      </w:r>
      <w:r>
        <w:rPr>
          <w:rFonts w:hint="eastAsia" w:ascii="仿宋_GB2312" w:eastAsia="仿宋_GB2312"/>
          <w:color w:val="auto"/>
          <w:spacing w:val="0"/>
          <w:sz w:val="32"/>
          <w:szCs w:val="32"/>
          <w:highlight w:val="none"/>
          <w:lang w:val="en-US" w:eastAsia="zh-CN"/>
        </w:rPr>
        <w:t>2023年发放了去世的6位退休人员丧葬费抚恤金数额较多，故比上年收入支出数额增加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1,459.14</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1,362.14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93.35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97.00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6.65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本年支出1,506.86万元，其中：基本支出1,362.14万元，占90.40%；项目支出144.72万元，占9.60%；上缴上级支出0.00万元，占0.00%；经营支出0.00万元，占0.00%；对附属单位补助支出0.00万元，占0.00%。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1,362.14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1,362.14</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1,362.14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1,362.14</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增加193.39万元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增长16.55%,</w:t>
      </w:r>
      <w:r>
        <w:rPr>
          <w:rFonts w:hint="eastAsia" w:ascii="仿宋_GB2312" w:eastAsia="仿宋_GB2312"/>
          <w:color w:val="auto"/>
          <w:spacing w:val="0"/>
          <w:sz w:val="32"/>
          <w:szCs w:val="32"/>
          <w:highlight w:val="none"/>
          <w:lang w:eastAsia="zh-CN"/>
        </w:rPr>
        <w:t>主要原因是：因单位处于边远地区，艰边人员薪资调整，且在</w:t>
      </w:r>
      <w:r>
        <w:rPr>
          <w:rFonts w:hint="eastAsia" w:ascii="仿宋_GB2312" w:eastAsia="仿宋_GB2312"/>
          <w:color w:val="auto"/>
          <w:spacing w:val="0"/>
          <w:sz w:val="32"/>
          <w:szCs w:val="32"/>
          <w:highlight w:val="none"/>
          <w:lang w:val="en-US" w:eastAsia="zh-CN"/>
        </w:rPr>
        <w:t>2023年发放了去世的6位退休人员丧葬费抚恤金数额较多，故比上年收入支出数额增加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1,133.99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1,362.14</w:t>
      </w:r>
      <w:r>
        <w:rPr>
          <w:rFonts w:hint="eastAsia" w:ascii="仿宋_GB2312" w:eastAsia="仿宋_GB2312"/>
          <w:color w:val="auto"/>
          <w:spacing w:val="0"/>
          <w:sz w:val="32"/>
          <w:szCs w:val="32"/>
          <w:highlight w:val="none"/>
          <w:lang w:eastAsia="zh-CN"/>
        </w:rPr>
        <w:t>万元，预决算差异率20.12%，主要原因是：因单位处于边远地区，艰边人员薪资调整，基础绩效也进行了调整增资，且在</w:t>
      </w:r>
      <w:r>
        <w:rPr>
          <w:rFonts w:hint="eastAsia" w:ascii="仿宋_GB2312" w:eastAsia="仿宋_GB2312"/>
          <w:color w:val="auto"/>
          <w:spacing w:val="0"/>
          <w:sz w:val="32"/>
          <w:szCs w:val="32"/>
          <w:highlight w:val="none"/>
          <w:lang w:val="en-US" w:eastAsia="zh-CN"/>
        </w:rPr>
        <w:t>2023年发放了去世的6位退休人员丧葬费抚恤金数额较多，</w:t>
      </w:r>
      <w:r>
        <w:rPr>
          <w:rFonts w:hint="eastAsia" w:ascii="仿宋_GB2312" w:eastAsia="仿宋_GB2312"/>
          <w:color w:val="auto"/>
          <w:spacing w:val="0"/>
          <w:sz w:val="32"/>
          <w:szCs w:val="32"/>
          <w:highlight w:val="none"/>
          <w:lang w:eastAsia="zh-CN"/>
        </w:rPr>
        <w:t>故财政拨款收入决算数较年初预算数多，支出也随之增加。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2023年度一般公共预算财政拨款支出1,362.14万元，占本年支出合计的</w:t>
      </w:r>
      <w:r>
        <w:rPr>
          <w:rFonts w:hint="eastAsia" w:ascii="仿宋_GB2312" w:eastAsia="仿宋_GB2312"/>
          <w:color w:val="auto"/>
          <w:spacing w:val="0"/>
          <w:sz w:val="32"/>
          <w:szCs w:val="32"/>
          <w:highlight w:val="none"/>
          <w:lang w:val="zh-CN" w:eastAsia="zh-CN"/>
        </w:rPr>
        <w:t>90.40%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增加193.39万元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增长16.55%,</w:t>
      </w:r>
      <w:r>
        <w:rPr>
          <w:rFonts w:hint="eastAsia" w:ascii="仿宋_GB2312" w:eastAsia="仿宋_GB2312"/>
          <w:color w:val="auto"/>
          <w:spacing w:val="0"/>
          <w:sz w:val="32"/>
          <w:szCs w:val="32"/>
          <w:highlight w:val="none"/>
          <w:lang w:eastAsia="zh-CN"/>
        </w:rPr>
        <w:t>主要原因是：因单位处于边远地区，艰边人员薪资调整，基础绩效也进行了调整增资，且在</w:t>
      </w:r>
      <w:r>
        <w:rPr>
          <w:rFonts w:hint="eastAsia" w:ascii="仿宋_GB2312" w:eastAsia="仿宋_GB2312"/>
          <w:color w:val="auto"/>
          <w:spacing w:val="0"/>
          <w:sz w:val="32"/>
          <w:szCs w:val="32"/>
          <w:highlight w:val="none"/>
          <w:lang w:val="en-US" w:eastAsia="zh-CN"/>
        </w:rPr>
        <w:t>2023年发放了去世的6位退休人员丧葬费抚恤金数额较多，故比上年收入支出数额增加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1,133.99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1,362.14</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20.12%</w:t>
      </w:r>
      <w:r>
        <w:rPr>
          <w:rFonts w:hint="eastAsia" w:ascii="仿宋_GB2312" w:eastAsia="仿宋_GB2312"/>
          <w:color w:val="auto"/>
          <w:spacing w:val="0"/>
          <w:sz w:val="32"/>
          <w:szCs w:val="32"/>
          <w:highlight w:val="none"/>
          <w:lang w:eastAsia="zh-CN"/>
        </w:rPr>
        <w:t>，主要原因是：因单位处于边远地区，艰边人员薪资调整，基础绩效也进行了调整增资，且在</w:t>
      </w:r>
      <w:r>
        <w:rPr>
          <w:rFonts w:hint="eastAsia" w:ascii="仿宋_GB2312" w:eastAsia="仿宋_GB2312"/>
          <w:color w:val="auto"/>
          <w:spacing w:val="0"/>
          <w:sz w:val="32"/>
          <w:szCs w:val="32"/>
          <w:highlight w:val="none"/>
          <w:lang w:val="en-US" w:eastAsia="zh-CN"/>
        </w:rPr>
        <w:t>2023年发放了去世的6位退休人员丧葬费抚恤金数额较多，</w:t>
      </w:r>
      <w:r>
        <w:rPr>
          <w:rFonts w:hint="eastAsia" w:ascii="仿宋_GB2312" w:eastAsia="仿宋_GB2312"/>
          <w:sz w:val="32"/>
          <w:szCs w:val="32"/>
        </w:rPr>
        <w:t>故财政拨款收入决算数较年初预算数多，支出也随之增加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default"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1,362.14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100.00</w:t>
      </w:r>
      <w:r>
        <w:rPr>
          <w:rFonts w:hint="default" w:ascii="仿宋_GB2312" w:hAnsi="Times New Roman" w:eastAsia="仿宋_GB2312" w:cs="Times New Roman"/>
          <w:color w:val="auto"/>
          <w:spacing w:val="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1.科学技术支出（类）应用研究（款）机构运行（项）:支出决算数为1,362.14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193.39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16.55%，主要原因是：</w:t>
      </w:r>
      <w:r>
        <w:rPr>
          <w:rFonts w:hint="eastAsia" w:ascii="仿宋_GB2312" w:eastAsia="仿宋_GB2312"/>
          <w:color w:val="auto"/>
          <w:spacing w:val="0"/>
          <w:sz w:val="32"/>
          <w:szCs w:val="32"/>
          <w:highlight w:val="none"/>
          <w:lang w:eastAsia="zh-CN"/>
        </w:rPr>
        <w:t>因单位处于边远地区，艰边人员薪资调整，基础绩效也进行了调整增资，且在</w:t>
      </w:r>
      <w:r>
        <w:rPr>
          <w:rFonts w:hint="eastAsia" w:ascii="仿宋_GB2312" w:eastAsia="仿宋_GB2312"/>
          <w:color w:val="auto"/>
          <w:spacing w:val="0"/>
          <w:sz w:val="32"/>
          <w:szCs w:val="32"/>
          <w:highlight w:val="none"/>
          <w:lang w:val="en-US" w:eastAsia="zh-CN"/>
        </w:rPr>
        <w:t>2023年发放了去世的6位退休人员丧葬费抚恤金数额较多，故比上年收入支出数额增加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1,362.14</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1,217.66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144.48</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办公费、印刷费、水费、电费、邮电费、取暖费、差旅费、维修（护）费、劳务费、工会经费、福利费、其他交通费用、其他商品和服务支出</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我单位无公务用车购置及运行维护费</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原因是：我单位其他车辆经费从项目经费</w:t>
      </w:r>
      <w:bookmarkStart w:id="48" w:name="_GoBack"/>
      <w:bookmarkEnd w:id="48"/>
      <w:r>
        <w:rPr>
          <w:rFonts w:hint="eastAsia" w:ascii="仿宋_GB2312" w:eastAsia="仿宋_GB2312"/>
          <w:color w:val="auto"/>
          <w:sz w:val="32"/>
          <w:szCs w:val="32"/>
          <w:highlight w:val="none"/>
          <w:lang w:val="zh-CN" w:eastAsia="zh-CN"/>
        </w:rPr>
        <w:t>及其他交通费用中进行支付。</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预算数0.00万元，决算数0.00万元，预决算差异率0.00%，主要原因是：我单位无公务用车运行费；公务接待费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新疆维吾尔自治区和田蚕桑科学研究所（事业单位）公用经费支出144.48万元，</w:t>
      </w:r>
      <w:r>
        <w:rPr>
          <w:rFonts w:hint="eastAsia" w:ascii="Times New Roman" w:hAnsi="Times New Roman" w:eastAsia="仿宋_GB2312" w:cs="Times New Roman"/>
          <w:color w:val="auto"/>
          <w:sz w:val="32"/>
          <w:szCs w:val="32"/>
          <w:highlight w:val="none"/>
          <w:lang w:val="zh-CN" w:eastAsia="zh-CN"/>
        </w:rPr>
        <w:t>比上年增加83.34万元，增长136.30%，主要原因是：</w:t>
      </w:r>
      <w:r>
        <w:rPr>
          <w:rFonts w:hint="eastAsia" w:eastAsia="仿宋_GB2312" w:cs="Times New Roman"/>
          <w:color w:val="auto"/>
          <w:sz w:val="32"/>
          <w:szCs w:val="32"/>
          <w:highlight w:val="none"/>
          <w:lang w:val="en-US" w:eastAsia="zh-CN"/>
        </w:rPr>
        <w:t>本年增加2个项目，功能科目是2060301，和基本支出功能科目一致，故体现出来公用经费支出较多</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120.08万元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其中：政府采购货物支出88.95万元、政府采购工程支出20.15万元、政府采购服务支出10.97万元。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授予中小企业合同金额120.08万元，占政府采购支出总额的100.00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，其中：授予小微企业合同金额120.08万元，占政府采购支出总额的100.00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1,215.99</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屋16190.12平方米，价值663.45万元。车辆3辆，价值35.30万元，其中：副部（省）级及以上领导用车0辆、主要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用车0辆、其他用车3辆，其他用车主要是：</w:t>
      </w:r>
      <w:r>
        <w:rPr>
          <w:rFonts w:hint="eastAsia" w:ascii="仿宋_GB2312" w:eastAsia="仿宋_GB2312"/>
          <w:sz w:val="32"/>
          <w:szCs w:val="32"/>
        </w:rPr>
        <w:t>依维柯服务用车1辆，皮卡车 1 辆，双排座载货汽车 1 辆，</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default" w:ascii="仿宋_GB2312" w:hAnsi="仿宋_GB2312" w:eastAsia="仿宋_GB2312" w:cs="仿宋_GB2312"/>
          <w:color w:val="auto"/>
          <w:kern w:val="0"/>
          <w:sz w:val="32"/>
          <w:szCs w:val="32"/>
          <w:highlight w:val="none"/>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default"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default"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r>
        <w:rPr>
          <w:rFonts w:hint="default" w:ascii="仿宋_GB2312" w:eastAsia="仿宋_GB2312"/>
          <w:color w:val="auto"/>
          <w:sz w:val="32"/>
          <w:szCs w:val="32"/>
          <w:highlight w:val="none"/>
        </w:rPr>
        <w:t>，我单位整体支出绩效自评是由新疆维吾尔自治区科学技术厅（部门）完成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全年预算数2935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全年执行数181.5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。预算绩效管理取得的成效：一是通过开展绩效目标申报，将预算目标同预算编制、资金安排相结合，按时完成项目，</w:t>
      </w:r>
      <w:r>
        <w:rPr>
          <w:rFonts w:hint="eastAsia" w:ascii="仿宋_GB2312" w:eastAsia="仿宋_GB2312"/>
          <w:color w:val="auto"/>
          <w:sz w:val="32"/>
          <w:szCs w:val="32"/>
          <w:highlight w:val="none"/>
        </w:rPr>
        <w:t>使项目资金充分利用，提高了资源配置效率和使用效益</w:t>
      </w:r>
      <w:r>
        <w:rPr>
          <w:rFonts w:hint="eastAsia" w:ascii="仿宋_GB2312" w:eastAsia="仿宋_GB2312"/>
          <w:color w:val="auto"/>
          <w:sz w:val="32"/>
          <w:szCs w:val="32"/>
          <w:highlight w:val="none"/>
          <w:lang w:eastAsia="zh-CN"/>
        </w:rPr>
        <w:t>；二是加强了资金管理。发现的问题及原因：一是</w:t>
      </w:r>
      <w:r>
        <w:rPr>
          <w:rFonts w:hint="eastAsia" w:ascii="仿宋_GB2312" w:hAnsi="仿宋_GB2312" w:eastAsia="仿宋_GB2312" w:cs="仿宋_GB2312"/>
          <w:b w:val="0"/>
          <w:bCs w:val="0"/>
          <w:sz w:val="32"/>
          <w:szCs w:val="40"/>
          <w:lang w:val="en-US" w:eastAsia="zh-CN"/>
        </w:rPr>
        <w:t>项目将两个未通过的项目金额列入其中，资金未全部到位，执行率低</w:t>
      </w:r>
      <w:r>
        <w:rPr>
          <w:rFonts w:hint="eastAsia" w:ascii="仿宋_GB2312" w:eastAsia="仿宋_GB2312"/>
          <w:color w:val="auto"/>
          <w:sz w:val="32"/>
          <w:szCs w:val="32"/>
          <w:highlight w:val="none"/>
          <w:lang w:eastAsia="zh-CN"/>
        </w:rPr>
        <w:t>；二是</w:t>
      </w:r>
      <w:r>
        <w:rPr>
          <w:rFonts w:hint="eastAsia" w:ascii="仿宋_GB2312" w:hAnsi="仿宋_GB2312" w:eastAsia="仿宋_GB2312" w:cs="仿宋_GB2312"/>
          <w:b w:val="0"/>
          <w:bCs w:val="0"/>
          <w:sz w:val="32"/>
          <w:szCs w:val="40"/>
          <w:lang w:val="en-US" w:eastAsia="zh-CN"/>
        </w:rPr>
        <w:t>绩效目标过高，实际完成率过低，项目绩效目标无法完成</w:t>
      </w:r>
      <w:r>
        <w:rPr>
          <w:rFonts w:hint="eastAsia" w:ascii="仿宋_GB2312" w:eastAsia="仿宋_GB2312"/>
          <w:color w:val="auto"/>
          <w:sz w:val="32"/>
          <w:szCs w:val="32"/>
          <w:highlight w:val="none"/>
          <w:lang w:eastAsia="zh-CN"/>
        </w:rPr>
        <w:t>。下一步改进措施：一是</w:t>
      </w:r>
      <w:r>
        <w:rPr>
          <w:rFonts w:hint="eastAsia" w:ascii="仿宋_GB2312" w:hAnsi="仿宋_GB2312" w:eastAsia="仿宋_GB2312" w:cs="仿宋_GB2312"/>
          <w:b w:val="0"/>
          <w:bCs w:val="0"/>
          <w:sz w:val="32"/>
          <w:szCs w:val="40"/>
          <w:lang w:val="en-US" w:eastAsia="zh-CN"/>
        </w:rPr>
        <w:t>我单位将在做预算项目时，以上年收入实绩和当年实际收入情况为依据，在此基础上剔除非正常的一次性收入因素，充分考虑政策性、管理性增减因素和收入变化趋势，由此核定本预算年度的收入计划。严格审查项目立项的有关政策依据、项目具体内容、实施方式、项目概算、资金使用计划，以及项目实施的目标效果</w:t>
      </w:r>
      <w:r>
        <w:rPr>
          <w:rFonts w:hint="eastAsia" w:ascii="仿宋_GB2312" w:eastAsia="仿宋_GB2312"/>
          <w:color w:val="auto"/>
          <w:sz w:val="32"/>
          <w:szCs w:val="32"/>
          <w:highlight w:val="none"/>
          <w:lang w:eastAsia="zh-CN"/>
        </w:rPr>
        <w:t>；二是</w:t>
      </w:r>
      <w:r>
        <w:rPr>
          <w:rFonts w:hint="eastAsia" w:ascii="仿宋_GB2312" w:hAnsi="仿宋_GB2312" w:eastAsia="仿宋_GB2312" w:cs="仿宋_GB2312"/>
          <w:b w:val="0"/>
          <w:bCs w:val="0"/>
          <w:sz w:val="32"/>
          <w:szCs w:val="40"/>
          <w:lang w:val="en-US" w:eastAsia="zh-CN"/>
        </w:rPr>
        <w:t>根据真实性原则。预算根据各部门履行的职责、项目发展目标和现有资源的配备情况进行编制，各项收支要符合客观实际，要有真实可靠的预算依据，才能列入预算项目。</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191DAC"/>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0FB82D13"/>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B37392"/>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10426"/>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5FF800D8"/>
    <w:rsid w:val="603D5080"/>
    <w:rsid w:val="60D0261B"/>
    <w:rsid w:val="618E3791"/>
    <w:rsid w:val="61947DCA"/>
    <w:rsid w:val="61A46A97"/>
    <w:rsid w:val="61D1382F"/>
    <w:rsid w:val="61F114A2"/>
    <w:rsid w:val="620E70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6D805F6"/>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D72214"/>
    <w:rsid w:val="7AE952D2"/>
    <w:rsid w:val="7C7248A0"/>
    <w:rsid w:val="7C976D69"/>
    <w:rsid w:val="7CD752DA"/>
    <w:rsid w:val="7CDE40AB"/>
    <w:rsid w:val="7CF057E2"/>
    <w:rsid w:val="7D1548B5"/>
    <w:rsid w:val="7DF84014"/>
    <w:rsid w:val="7E207949"/>
    <w:rsid w:val="7E4F5837"/>
    <w:rsid w:val="7E5C0A47"/>
    <w:rsid w:val="7E670C75"/>
    <w:rsid w:val="7EE24272"/>
    <w:rsid w:val="7EEA6053"/>
    <w:rsid w:val="7F487C04"/>
    <w:rsid w:val="7FB45F21"/>
    <w:rsid w:val="7FE57088"/>
    <w:rsid w:val="7FF37FA3"/>
    <w:rsid w:val="FBFE4ECC"/>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 w:type="paragraph" w:customStyle="1"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32</Pages>
  <Words>6480</Words>
  <Characters>20825</Characters>
  <Lines>0</Lines>
  <Paragraphs>0</Paragraphs>
  <TotalTime>1</TotalTime>
  <ScaleCrop>false</ScaleCrop>
  <LinksUpToDate>false</LinksUpToDate>
  <CharactersWithSpaces>20937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2024-10-14T11:54:59Z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