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新疆维吾尔自治区葡萄瓜果研究所</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highlight w:val="none"/>
        </w:rPr>
      </w:pPr>
      <w:bookmarkStart w:id="2" w:name="_Toc30738"/>
      <w:bookmarkStart w:id="3" w:name="_Toc30567"/>
      <w:r>
        <w:rPr>
          <w:rFonts w:hint="eastAsia" w:ascii="黑体" w:hAnsi="黑体" w:eastAsia="黑体" w:cs="宋体"/>
          <w:bCs/>
          <w:kern w:val="0"/>
          <w:sz w:val="32"/>
          <w:szCs w:val="32"/>
          <w:highlight w:val="none"/>
        </w:rPr>
        <w:t>一、主要职能</w:t>
      </w:r>
      <w:bookmarkEnd w:id="2"/>
      <w:bookmarkEnd w:id="3"/>
    </w:p>
    <w:p>
      <w:pPr>
        <w:pStyle w:val="3"/>
        <w:spacing w:before="54" w:line="364" w:lineRule="auto"/>
        <w:ind w:right="98" w:firstLine="64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我单位行政管理隶属于新疆维吾尔自治区农业农村厅，经费管理隶属于新疆维吾尔自治区科学技术厅。成立于 1979 年，是一个以西甜瓜和葡萄研究开发为主的科研单位。主要职责是开展葡萄、西甜瓜等特色农业的重大科研与推广示范，承担葡萄种苗和甜瓜、西瓜良种繁育及采后处理的研究和推广等工作，承担自治区葡萄、瓜果新品种、新技术的试验、示范和人才培训任务。</w:t>
      </w:r>
    </w:p>
    <w:p>
      <w:pPr>
        <w:pStyle w:val="3"/>
        <w:spacing w:before="54" w:line="364" w:lineRule="auto"/>
        <w:ind w:right="98" w:firstLine="640"/>
        <w:rPr>
          <w:rFonts w:ascii="仿宋_GB2312" w:eastAsia="仿宋_GB2312"/>
          <w:sz w:val="32"/>
          <w:szCs w:val="32"/>
          <w:highlight w:val="none"/>
        </w:rPr>
      </w:pPr>
      <w:r>
        <w:rPr>
          <w:rFonts w:hint="eastAsia" w:ascii="仿宋_GB2312" w:hAnsi="Times New Roman" w:eastAsia="仿宋_GB2312" w:cs="Times New Roman"/>
          <w:kern w:val="2"/>
          <w:sz w:val="32"/>
          <w:szCs w:val="32"/>
          <w:highlight w:val="none"/>
          <w:lang w:val="en-US" w:eastAsia="zh-CN" w:bidi="ar-SA"/>
        </w:rPr>
        <w:t>成立40多年来，始终坚持面向生产、服务“三农”，经过众多科技人员的艰苦奋斗，已经成为新疆特色农业的一支重要技术力量。先后选育出近50个西甜瓜新品种（系），16个葡萄新品种（系），其中西甜瓜品种种植面积曾达到全区的60%以上，占新疆商品瓜的 70%以上。多年的新品种研究选育及技术推广为吐鲁番地区、全疆乃至全国瓜果产业发展都作出了突出贡献。先后承担国家、省级、地级以上科研、推广项目 49 项。是自治区属科研院所中主要从事葡萄、西瓜、甜瓜新品种研究的专业性研究机构，集科研、生产、经营、技术服务为一体。收集、整理并保存了国内外西瓜、甜瓜品种种质资源近 1100 份；拥有我国西部地区最大的葡萄种质资源库，保存国内外葡萄种质资源 491 多份。在西瓜、甜瓜、葡萄种质资源研究方面居自治区领先水平。</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新疆维吾尔自治区葡萄瓜果研究所2023年度，实有人数</w:t>
      </w:r>
      <w:r>
        <w:rPr>
          <w:rFonts w:hint="eastAsia" w:ascii="仿宋_GB2312" w:eastAsia="仿宋_GB2312"/>
          <w:sz w:val="32"/>
          <w:szCs w:val="32"/>
          <w:lang w:val="zh-CN"/>
        </w:rPr>
        <w:t>110</w:t>
      </w:r>
      <w:r>
        <w:rPr>
          <w:rFonts w:hint="eastAsia" w:ascii="仿宋_GB2312" w:eastAsia="仿宋_GB2312"/>
          <w:sz w:val="32"/>
          <w:szCs w:val="32"/>
        </w:rPr>
        <w:t>人，其中：在职人员</w:t>
      </w:r>
      <w:r>
        <w:rPr>
          <w:rFonts w:hint="eastAsia" w:ascii="仿宋_GB2312" w:eastAsia="仿宋_GB2312"/>
          <w:sz w:val="32"/>
          <w:szCs w:val="32"/>
          <w:lang w:val="zh-CN"/>
        </w:rPr>
        <w:t>50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单位无下属预算单位，下设7个处室，分别是：行政办公室、培训中心、葡萄研究室、瓜类研究室、综合研究室、重点实验室、试验场。</w:t>
      </w:r>
    </w:p>
    <w:p>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2023年度收入总计3,139.75万元，其中：本年收入合计2,573.54万元，使用非财政拨款结余0.00万元，年初结转和结余566.21万元。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2023年度支出总计3,139.75万元，其中：本年支出合计2,709.29万元，结余分配7.77万元，年末结转和结余422.70万元。</w:t>
      </w:r>
    </w:p>
    <w:p>
      <w:pPr>
        <w:ind w:firstLine="640" w:firstLineChars="200"/>
        <w:jc w:val="left"/>
        <w:rPr>
          <w:rFonts w:hint="default" w:ascii="仿宋_GB2312" w:eastAsia="仿宋_GB2312"/>
          <w:sz w:val="32"/>
          <w:szCs w:val="32"/>
          <w:highlight w:val="yellow"/>
          <w:lang w:val="en-US" w:eastAsia="zh-CN"/>
        </w:rPr>
      </w:pPr>
      <w:r>
        <w:rPr>
          <w:rFonts w:hint="eastAsia" w:ascii="仿宋_GB2312" w:eastAsia="仿宋_GB2312"/>
          <w:sz w:val="32"/>
          <w:szCs w:val="32"/>
        </w:rPr>
        <w:t>收入支出总体与上年相比，</w:t>
      </w:r>
      <w:r>
        <w:rPr>
          <w:rFonts w:hint="eastAsia" w:ascii="仿宋_GB2312" w:eastAsia="仿宋_GB2312"/>
          <w:sz w:val="32"/>
          <w:szCs w:val="32"/>
          <w:lang w:val="zh-CN"/>
        </w:rPr>
        <w:t>减少46.09万元</w:t>
      </w:r>
      <w:r>
        <w:rPr>
          <w:rFonts w:hint="eastAsia" w:ascii="仿宋_GB2312" w:eastAsia="仿宋_GB2312"/>
          <w:sz w:val="32"/>
          <w:szCs w:val="32"/>
        </w:rPr>
        <w:t>，下降1.45%，主要原因是：</w:t>
      </w:r>
      <w:r>
        <w:rPr>
          <w:rFonts w:hint="eastAsia" w:ascii="仿宋_GB2312" w:eastAsia="仿宋_GB2312"/>
          <w:sz w:val="32"/>
          <w:szCs w:val="32"/>
          <w:highlight w:val="none"/>
        </w:rPr>
        <w:t>收入减少一是</w:t>
      </w:r>
      <w:r>
        <w:rPr>
          <w:rFonts w:hint="eastAsia" w:ascii="仿宋_GB2312" w:eastAsia="仿宋_GB2312"/>
          <w:sz w:val="32"/>
          <w:szCs w:val="32"/>
          <w:highlight w:val="none"/>
          <w:lang w:eastAsia="zh-CN"/>
        </w:rPr>
        <w:t>当地</w:t>
      </w:r>
      <w:r>
        <w:rPr>
          <w:rFonts w:hint="eastAsia" w:ascii="仿宋_GB2312" w:eastAsia="仿宋_GB2312"/>
          <w:sz w:val="32"/>
          <w:szCs w:val="32"/>
          <w:highlight w:val="none"/>
        </w:rPr>
        <w:t>水资源</w:t>
      </w:r>
      <w:r>
        <w:rPr>
          <w:rFonts w:hint="eastAsia" w:ascii="仿宋_GB2312" w:eastAsia="仿宋_GB2312"/>
          <w:sz w:val="32"/>
          <w:szCs w:val="32"/>
          <w:highlight w:val="none"/>
          <w:lang w:eastAsia="zh-CN"/>
        </w:rPr>
        <w:t>严重</w:t>
      </w:r>
      <w:r>
        <w:rPr>
          <w:rFonts w:hint="eastAsia" w:ascii="仿宋_GB2312" w:eastAsia="仿宋_GB2312"/>
          <w:sz w:val="32"/>
          <w:szCs w:val="32"/>
          <w:highlight w:val="none"/>
        </w:rPr>
        <w:t>紧缺</w:t>
      </w:r>
      <w:r>
        <w:rPr>
          <w:rFonts w:hint="eastAsia" w:ascii="仿宋_GB2312" w:eastAsia="仿宋_GB2312"/>
          <w:sz w:val="32"/>
          <w:szCs w:val="32"/>
          <w:highlight w:val="none"/>
          <w:lang w:eastAsia="zh-CN"/>
        </w:rPr>
        <w:t>，致使</w:t>
      </w:r>
      <w:r>
        <w:rPr>
          <w:rFonts w:hint="eastAsia" w:ascii="仿宋_GB2312" w:eastAsia="仿宋_GB2312"/>
          <w:sz w:val="32"/>
          <w:szCs w:val="32"/>
          <w:highlight w:val="none"/>
          <w:lang w:val="en-US" w:eastAsia="zh-CN"/>
        </w:rPr>
        <w:t>60亩葡萄地不得已</w:t>
      </w:r>
      <w:r>
        <w:rPr>
          <w:rFonts w:hint="eastAsia" w:ascii="仿宋_GB2312" w:eastAsia="仿宋_GB2312"/>
          <w:sz w:val="32"/>
          <w:szCs w:val="32"/>
          <w:highlight w:val="none"/>
        </w:rPr>
        <w:t>撂荒</w:t>
      </w:r>
      <w:r>
        <w:rPr>
          <w:rFonts w:hint="eastAsia" w:ascii="仿宋_GB2312" w:eastAsia="仿宋_GB2312"/>
          <w:sz w:val="32"/>
          <w:szCs w:val="32"/>
          <w:highlight w:val="none"/>
          <w:lang w:eastAsia="zh-CN"/>
        </w:rPr>
        <w:t>，使事业收入减少；</w:t>
      </w:r>
      <w:r>
        <w:rPr>
          <w:rFonts w:hint="eastAsia" w:ascii="仿宋_GB2312" w:eastAsia="仿宋_GB2312"/>
          <w:sz w:val="32"/>
          <w:szCs w:val="32"/>
          <w:highlight w:val="none"/>
          <w:lang w:val="en-US" w:eastAsia="zh-CN"/>
        </w:rPr>
        <w:t>二是本年项目专项经费减少，使其他收入减少。支出减少一是依财政要求退回退休人员医疗费补助；二是科研项目专项经费支出减少。</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本年收入2,573.54万元，其中：财政拨款收入</w:t>
      </w:r>
      <w:r>
        <w:rPr>
          <w:rFonts w:hint="eastAsia" w:ascii="仿宋_GB2312" w:eastAsia="仿宋_GB2312"/>
          <w:sz w:val="32"/>
          <w:szCs w:val="32"/>
          <w:lang w:val="zh-CN"/>
        </w:rPr>
        <w:t>2,018.32</w:t>
      </w:r>
      <w:r>
        <w:rPr>
          <w:rFonts w:hint="eastAsia" w:ascii="仿宋_GB2312" w:eastAsia="仿宋_GB2312"/>
          <w:sz w:val="32"/>
          <w:szCs w:val="32"/>
        </w:rPr>
        <w:t>万元，占</w:t>
      </w:r>
      <w:r>
        <w:rPr>
          <w:rFonts w:hint="eastAsia" w:ascii="仿宋_GB2312" w:eastAsia="仿宋_GB2312"/>
          <w:sz w:val="32"/>
          <w:szCs w:val="32"/>
          <w:lang w:val="zh-CN"/>
        </w:rPr>
        <w:t>78.43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112.80</w:t>
      </w:r>
      <w:r>
        <w:rPr>
          <w:rFonts w:hint="eastAsia" w:ascii="仿宋_GB2312" w:eastAsia="仿宋_GB2312"/>
          <w:sz w:val="32"/>
          <w:szCs w:val="32"/>
        </w:rPr>
        <w:t>万元，占</w:t>
      </w:r>
      <w:r>
        <w:rPr>
          <w:rFonts w:hint="eastAsia" w:ascii="仿宋_GB2312" w:eastAsia="仿宋_GB2312"/>
          <w:sz w:val="32"/>
          <w:szCs w:val="32"/>
          <w:lang w:val="zh-CN"/>
        </w:rPr>
        <w:t>4.38</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442.42</w:t>
      </w:r>
      <w:r>
        <w:rPr>
          <w:rFonts w:hint="eastAsia" w:ascii="仿宋_GB2312" w:eastAsia="仿宋_GB2312"/>
          <w:sz w:val="32"/>
          <w:szCs w:val="32"/>
        </w:rPr>
        <w:t>万元，占</w:t>
      </w:r>
      <w:r>
        <w:rPr>
          <w:rFonts w:hint="eastAsia" w:ascii="仿宋_GB2312" w:eastAsia="仿宋_GB2312"/>
          <w:sz w:val="32"/>
          <w:szCs w:val="32"/>
          <w:lang w:val="zh-CN"/>
        </w:rPr>
        <w:t>17.19</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eastAsia="仿宋_GB2312"/>
          <w:sz w:val="32"/>
          <w:szCs w:val="32"/>
          <w:lang w:val="zh-CN"/>
        </w:rPr>
      </w:pPr>
      <w:r>
        <w:rPr>
          <w:rFonts w:hint="eastAsia" w:ascii="仿宋_GB2312" w:eastAsia="仿宋_GB2312"/>
          <w:sz w:val="32"/>
          <w:szCs w:val="32"/>
          <w:lang w:val="zh-CN"/>
        </w:rPr>
        <w:t>本年支出2,709.29万元，其中：基本支出1,197.66万元，占44.21%；项目支出1,511.63万元，占55.79%；上缴上级支出0.00万元，占0.00%；经营支出0.00万元，占0.00%；对附属单位补助支出0.00万元，占0.00%。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2,073.24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54.92</w:t>
      </w:r>
      <w:r>
        <w:rPr>
          <w:rFonts w:hint="eastAsia" w:ascii="仿宋_GB2312" w:eastAsia="仿宋_GB2312"/>
          <w:sz w:val="32"/>
          <w:szCs w:val="32"/>
        </w:rPr>
        <w:t>万元，本年财政拨款收入</w:t>
      </w:r>
      <w:r>
        <w:rPr>
          <w:rFonts w:hint="eastAsia" w:ascii="仿宋_GB2312" w:eastAsia="仿宋_GB2312"/>
          <w:sz w:val="32"/>
          <w:szCs w:val="32"/>
          <w:lang w:val="zh-CN"/>
        </w:rPr>
        <w:t>2,018.32</w:t>
      </w:r>
      <w:r>
        <w:rPr>
          <w:rFonts w:hint="eastAsia" w:ascii="仿宋_GB2312" w:eastAsia="仿宋_GB2312"/>
          <w:sz w:val="32"/>
          <w:szCs w:val="32"/>
        </w:rPr>
        <w:t>万元。财政拨款支出总计</w:t>
      </w:r>
      <w:r>
        <w:rPr>
          <w:rFonts w:hint="eastAsia" w:ascii="仿宋_GB2312" w:eastAsia="仿宋_GB2312"/>
          <w:sz w:val="32"/>
          <w:szCs w:val="32"/>
          <w:lang w:val="zh-CN"/>
        </w:rPr>
        <w:t>2,073.24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55.84</w:t>
      </w:r>
      <w:r>
        <w:rPr>
          <w:rFonts w:hint="eastAsia" w:ascii="仿宋_GB2312" w:eastAsia="仿宋_GB2312"/>
          <w:sz w:val="32"/>
          <w:szCs w:val="32"/>
        </w:rPr>
        <w:t>万元，本年财政拨款支出</w:t>
      </w:r>
      <w:r>
        <w:rPr>
          <w:rFonts w:hint="eastAsia" w:ascii="仿宋_GB2312" w:eastAsia="仿宋_GB2312"/>
          <w:sz w:val="32"/>
          <w:szCs w:val="32"/>
          <w:lang w:val="zh-CN"/>
        </w:rPr>
        <w:t>2,017.40</w:t>
      </w:r>
      <w:r>
        <w:rPr>
          <w:rFonts w:hint="eastAsia" w:ascii="仿宋_GB2312" w:eastAsia="仿宋_GB2312"/>
          <w:sz w:val="32"/>
          <w:szCs w:val="32"/>
        </w:rPr>
        <w:t>万元。</w:t>
      </w:r>
    </w:p>
    <w:p>
      <w:pPr>
        <w:ind w:firstLine="640" w:firstLineChars="200"/>
        <w:jc w:val="left"/>
        <w:rPr>
          <w:rFonts w:ascii="仿宋_GB2312" w:eastAsia="仿宋_GB2312"/>
          <w:sz w:val="32"/>
          <w:szCs w:val="32"/>
          <w:highlight w:val="none"/>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增加224.24万元</w:t>
      </w:r>
      <w:r>
        <w:rPr>
          <w:rFonts w:hint="eastAsia" w:ascii="仿宋_GB2312" w:eastAsia="仿宋_GB2312"/>
          <w:sz w:val="32"/>
          <w:szCs w:val="32"/>
        </w:rPr>
        <w:t>，增长12.13%,主要原因是：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年因政策性原因增加了基础绩效奖、年度考核奖、艰边津贴、丧葬费抚恤金和职业年金</w:t>
      </w:r>
      <w:r>
        <w:rPr>
          <w:rFonts w:hint="eastAsia" w:ascii="仿宋_GB2312" w:eastAsia="仿宋_GB2312"/>
          <w:sz w:val="32"/>
          <w:szCs w:val="32"/>
          <w:highlight w:val="none"/>
          <w:lang w:eastAsia="zh-CN"/>
        </w:rPr>
        <w:t>；另外今年新增了</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个项目，项目资金总额与上年相比增幅较大；故本年财政拨款收入支出与上年相比有所增加。</w:t>
      </w:r>
      <w:r>
        <w:rPr>
          <w:rFonts w:hint="eastAsia" w:ascii="仿宋_GB2312" w:eastAsia="仿宋_GB2312"/>
          <w:sz w:val="32"/>
          <w:szCs w:val="32"/>
        </w:rPr>
        <w:t>与年初预算相比，年初预算数</w:t>
      </w:r>
      <w:r>
        <w:rPr>
          <w:rFonts w:hint="eastAsia" w:ascii="仿宋_GB2312" w:eastAsia="仿宋_GB2312"/>
          <w:sz w:val="32"/>
          <w:szCs w:val="32"/>
          <w:lang w:val="zh-CN"/>
        </w:rPr>
        <w:t>1,216.21</w:t>
      </w:r>
      <w:r>
        <w:rPr>
          <w:rFonts w:hint="eastAsia" w:ascii="仿宋_GB2312" w:eastAsia="仿宋_GB2312"/>
          <w:sz w:val="32"/>
          <w:szCs w:val="32"/>
        </w:rPr>
        <w:t>万元，决算数</w:t>
      </w:r>
      <w:r>
        <w:rPr>
          <w:rFonts w:hint="eastAsia" w:ascii="仿宋_GB2312" w:eastAsia="仿宋_GB2312"/>
          <w:sz w:val="32"/>
          <w:szCs w:val="32"/>
          <w:lang w:val="zh-CN"/>
        </w:rPr>
        <w:t>2,073.24</w:t>
      </w:r>
      <w:r>
        <w:rPr>
          <w:rFonts w:hint="eastAsia" w:ascii="仿宋_GB2312" w:eastAsia="仿宋_GB2312"/>
          <w:sz w:val="32"/>
          <w:szCs w:val="32"/>
        </w:rPr>
        <w:t>万元，预决算差异率70.47%，主要原因是：</w:t>
      </w:r>
      <w:r>
        <w:rPr>
          <w:rFonts w:hint="eastAsia" w:ascii="仿宋_GB2312" w:eastAsia="仿宋_GB2312"/>
          <w:sz w:val="32"/>
          <w:szCs w:val="32"/>
          <w:highlight w:val="none"/>
        </w:rPr>
        <w:t>预算执行中追加了基础绩效奖、年度考核奖、艰边津贴、丧葬费抚恤金和职业年金；另外今年追加了4个项目经费，项目资金总额与上年相比增幅较大；故预决算差异较大。</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jc w:val="left"/>
        <w:rPr>
          <w:rFonts w:ascii="仿宋_GB2312" w:eastAsia="仿宋_GB2312"/>
          <w:sz w:val="32"/>
          <w:szCs w:val="32"/>
          <w:highlight w:val="none"/>
        </w:rPr>
      </w:pPr>
      <w:r>
        <w:rPr>
          <w:rFonts w:hint="eastAsia" w:ascii="仿宋_GB2312" w:eastAsia="仿宋_GB2312"/>
          <w:sz w:val="32"/>
          <w:szCs w:val="32"/>
        </w:rPr>
        <w:t>2023年度一般公共预算财政拨款支出2,017.40万元，占本年支出合计的</w:t>
      </w:r>
      <w:r>
        <w:rPr>
          <w:rFonts w:hint="eastAsia" w:ascii="仿宋_GB2312" w:eastAsia="仿宋_GB2312"/>
          <w:sz w:val="32"/>
          <w:szCs w:val="32"/>
          <w:lang w:val="zh-CN"/>
        </w:rPr>
        <w:t>74.46%</w:t>
      </w:r>
      <w:r>
        <w:rPr>
          <w:rFonts w:hint="eastAsia" w:ascii="仿宋_GB2312" w:eastAsia="仿宋_GB2312"/>
          <w:sz w:val="32"/>
          <w:szCs w:val="32"/>
        </w:rPr>
        <w:t>。与上年相比，</w:t>
      </w:r>
      <w:r>
        <w:rPr>
          <w:rFonts w:hint="eastAsia" w:ascii="仿宋_GB2312" w:eastAsia="仿宋_GB2312"/>
          <w:sz w:val="32"/>
          <w:szCs w:val="32"/>
          <w:lang w:val="zh-CN"/>
        </w:rPr>
        <w:t>增加223.32万元</w:t>
      </w:r>
      <w:r>
        <w:rPr>
          <w:rFonts w:hint="eastAsia" w:ascii="仿宋_GB2312" w:eastAsia="仿宋_GB2312"/>
          <w:sz w:val="32"/>
          <w:szCs w:val="32"/>
        </w:rPr>
        <w:t>，增长12.45%,主要原因是：</w:t>
      </w:r>
      <w:r>
        <w:rPr>
          <w:rFonts w:hint="eastAsia" w:ascii="仿宋_GB2312" w:eastAsia="仿宋_GB2312"/>
          <w:sz w:val="32"/>
          <w:szCs w:val="32"/>
          <w:highlight w:val="none"/>
        </w:rPr>
        <w:t>2023年因政策性原因增加了基础绩效奖、年度考核奖、艰边津贴、丧葬费抚恤金和职业年金；另外今年新增了4个项目，项目资金总额与上年相比增幅较大；故本年财政拨款收入支出与上年相比有所增加。</w:t>
      </w:r>
      <w:r>
        <w:rPr>
          <w:rFonts w:hint="eastAsia" w:ascii="仿宋_GB2312" w:eastAsia="仿宋_GB2312"/>
          <w:sz w:val="32"/>
          <w:szCs w:val="32"/>
        </w:rPr>
        <w:t>与年初预算相比，年初预算数</w:t>
      </w:r>
      <w:r>
        <w:rPr>
          <w:rFonts w:hint="eastAsia" w:ascii="仿宋_GB2312" w:eastAsia="仿宋_GB2312"/>
          <w:sz w:val="32"/>
          <w:szCs w:val="32"/>
          <w:lang w:val="zh-CN"/>
        </w:rPr>
        <w:t>1,216.21</w:t>
      </w:r>
      <w:r>
        <w:rPr>
          <w:rFonts w:hint="eastAsia" w:ascii="仿宋_GB2312" w:eastAsia="仿宋_GB2312"/>
          <w:sz w:val="32"/>
          <w:szCs w:val="32"/>
        </w:rPr>
        <w:t>万元，决算数</w:t>
      </w:r>
      <w:r>
        <w:rPr>
          <w:rFonts w:hint="eastAsia" w:ascii="仿宋_GB2312" w:eastAsia="仿宋_GB2312"/>
          <w:sz w:val="32"/>
          <w:szCs w:val="32"/>
          <w:lang w:val="zh-CN"/>
        </w:rPr>
        <w:t>2,017.40</w:t>
      </w:r>
      <w:r>
        <w:rPr>
          <w:rFonts w:hint="eastAsia" w:ascii="仿宋_GB2312" w:eastAsia="仿宋_GB2312"/>
          <w:sz w:val="32"/>
          <w:szCs w:val="32"/>
        </w:rPr>
        <w:t>万元，预决算差异率</w:t>
      </w:r>
      <w:r>
        <w:rPr>
          <w:rFonts w:hint="eastAsia" w:ascii="仿宋_GB2312" w:eastAsia="仿宋_GB2312"/>
          <w:sz w:val="32"/>
          <w:szCs w:val="32"/>
          <w:lang w:val="zh-CN"/>
        </w:rPr>
        <w:t>65.88%</w:t>
      </w:r>
      <w:r>
        <w:rPr>
          <w:rFonts w:hint="eastAsia" w:ascii="仿宋_GB2312" w:eastAsia="仿宋_GB2312"/>
          <w:sz w:val="32"/>
          <w:szCs w:val="32"/>
        </w:rPr>
        <w:t>，主要原因是：</w:t>
      </w:r>
      <w:r>
        <w:rPr>
          <w:rFonts w:hint="eastAsia" w:ascii="仿宋_GB2312" w:eastAsia="仿宋_GB2312"/>
          <w:sz w:val="32"/>
          <w:szCs w:val="32"/>
          <w:highlight w:val="none"/>
        </w:rPr>
        <w:t>预算执行中追加了基础绩效奖、年度考核奖、艰边津贴、丧葬费抚恤金和职业年金；另外今年追加了4个项目经费，项目资金总额与上年相比增幅较大；故预决算差异较大。</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rPr>
          <w:rFonts w:ascii="仿宋_GB2312" w:eastAsia="仿宋_GB2312"/>
          <w:kern w:val="2"/>
          <w:sz w:val="32"/>
          <w:szCs w:val="32"/>
        </w:rPr>
      </w:pPr>
      <w:r>
        <w:rPr>
          <w:rFonts w:ascii="仿宋_GB2312" w:eastAsia="仿宋_GB2312"/>
          <w:kern w:val="2"/>
          <w:sz w:val="32"/>
          <w:szCs w:val="32"/>
          <w:lang w:val="zh-CN"/>
        </w:rPr>
        <w:t>1.科学技术支出（类）</w:t>
      </w:r>
      <w:r>
        <w:rPr>
          <w:rFonts w:hint="eastAsia" w:ascii="仿宋_GB2312" w:eastAsia="仿宋_GB2312"/>
          <w:kern w:val="2"/>
          <w:sz w:val="32"/>
          <w:szCs w:val="32"/>
          <w:lang w:val="zh-CN"/>
        </w:rPr>
        <w:t>1,347.40</w:t>
      </w:r>
      <w:r>
        <w:rPr>
          <w:rFonts w:ascii="仿宋_GB2312" w:eastAsia="仿宋_GB2312"/>
          <w:kern w:val="2"/>
          <w:sz w:val="32"/>
          <w:szCs w:val="32"/>
          <w:lang w:val="zh-CN"/>
        </w:rPr>
        <w:t>万元，占</w:t>
      </w:r>
      <w:r>
        <w:rPr>
          <w:rFonts w:hint="eastAsia" w:ascii="仿宋_GB2312" w:eastAsia="仿宋_GB2312"/>
          <w:kern w:val="2"/>
          <w:sz w:val="32"/>
          <w:szCs w:val="32"/>
          <w:lang w:val="zh-CN"/>
        </w:rPr>
        <w:t>66.79</w:t>
      </w:r>
      <w:r>
        <w:rPr>
          <w:rFonts w:ascii="仿宋_GB2312" w:eastAsia="仿宋_GB2312"/>
          <w:kern w:val="2"/>
          <w:sz w:val="32"/>
          <w:szCs w:val="32"/>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2.农林水支出（类）</w:t>
      </w:r>
      <w:r>
        <w:rPr>
          <w:rFonts w:hint="eastAsia" w:ascii="仿宋_GB2312" w:eastAsia="仿宋_GB2312"/>
          <w:kern w:val="2"/>
          <w:sz w:val="32"/>
          <w:szCs w:val="32"/>
          <w:lang w:val="zh-CN"/>
        </w:rPr>
        <w:t>670.00</w:t>
      </w:r>
      <w:r>
        <w:rPr>
          <w:rFonts w:ascii="仿宋_GB2312" w:eastAsia="仿宋_GB2312"/>
          <w:kern w:val="2"/>
          <w:sz w:val="32"/>
          <w:szCs w:val="32"/>
          <w:lang w:val="zh-CN"/>
        </w:rPr>
        <w:t>万元，占</w:t>
      </w:r>
      <w:r>
        <w:rPr>
          <w:rFonts w:hint="eastAsia" w:ascii="仿宋_GB2312" w:eastAsia="仿宋_GB2312"/>
          <w:kern w:val="2"/>
          <w:sz w:val="32"/>
          <w:szCs w:val="32"/>
          <w:lang w:val="zh-CN"/>
        </w:rPr>
        <w:t>33.21</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highlight w:val="none"/>
          <w:lang w:val="zh-CN"/>
        </w:rPr>
      </w:pPr>
      <w:r>
        <w:rPr>
          <w:rFonts w:hint="eastAsia" w:eastAsia="仿宋_GB2312"/>
          <w:sz w:val="32"/>
          <w:szCs w:val="32"/>
        </w:rPr>
        <w:t>1.科学技术支出（类）应用研究（款）机构运行（项）:支出决算数为1,197.40万元，比上年决算减少8.13万元，下降0.67%，主要原因是：</w:t>
      </w:r>
      <w:r>
        <w:rPr>
          <w:rFonts w:hint="eastAsia" w:eastAsia="仿宋_GB2312"/>
          <w:sz w:val="32"/>
          <w:szCs w:val="32"/>
          <w:lang w:eastAsia="zh-CN"/>
        </w:rPr>
        <w:t>在职转退休</w:t>
      </w:r>
      <w:r>
        <w:rPr>
          <w:rFonts w:hint="eastAsia" w:eastAsia="仿宋_GB2312"/>
          <w:sz w:val="32"/>
          <w:szCs w:val="32"/>
          <w:lang w:val="en-US" w:eastAsia="zh-CN"/>
        </w:rPr>
        <w:t>2人，造成</w:t>
      </w:r>
      <w:r>
        <w:rPr>
          <w:rFonts w:hint="eastAsia" w:eastAsia="仿宋_GB2312"/>
          <w:sz w:val="32"/>
          <w:szCs w:val="32"/>
          <w:highlight w:val="none"/>
          <w:lang w:eastAsia="zh-CN"/>
        </w:rPr>
        <w:t>本年</w:t>
      </w:r>
      <w:r>
        <w:rPr>
          <w:rFonts w:hint="eastAsia" w:eastAsia="仿宋_GB2312"/>
          <w:sz w:val="32"/>
          <w:szCs w:val="32"/>
          <w:highlight w:val="none"/>
        </w:rPr>
        <w:t>人员</w:t>
      </w:r>
      <w:r>
        <w:rPr>
          <w:rFonts w:hint="eastAsia" w:eastAsia="仿宋_GB2312"/>
          <w:sz w:val="32"/>
          <w:szCs w:val="32"/>
          <w:highlight w:val="none"/>
          <w:lang w:eastAsia="zh-CN"/>
        </w:rPr>
        <w:t>经费</w:t>
      </w:r>
      <w:r>
        <w:rPr>
          <w:rFonts w:hint="eastAsia" w:eastAsia="仿宋_GB2312"/>
          <w:sz w:val="32"/>
          <w:szCs w:val="32"/>
          <w:highlight w:val="none"/>
        </w:rPr>
        <w:t>减少</w:t>
      </w:r>
      <w:r>
        <w:rPr>
          <w:rFonts w:hint="eastAsia" w:eastAsia="仿宋_GB2312"/>
          <w:sz w:val="32"/>
          <w:szCs w:val="32"/>
          <w:highlight w:val="none"/>
          <w:lang w:val="zh-CN"/>
        </w:rPr>
        <w:t>。</w:t>
      </w:r>
    </w:p>
    <w:p>
      <w:pPr>
        <w:ind w:firstLine="640" w:firstLineChars="200"/>
        <w:rPr>
          <w:rFonts w:eastAsia="仿宋_GB2312"/>
          <w:sz w:val="32"/>
          <w:szCs w:val="32"/>
          <w:highlight w:val="none"/>
          <w:lang w:val="zh-CN"/>
        </w:rPr>
      </w:pPr>
      <w:r>
        <w:rPr>
          <w:rFonts w:hint="eastAsia" w:eastAsia="仿宋_GB2312"/>
          <w:sz w:val="32"/>
          <w:szCs w:val="32"/>
        </w:rPr>
        <w:t>2.科学技术支出（类）基础研究（款）科技人才队伍建设（项）:支出决算数为150.00万元，比上年决算增加150.00万元，增长100%，主要原因是</w:t>
      </w:r>
      <w:r>
        <w:rPr>
          <w:rFonts w:hint="eastAsia" w:eastAsia="仿宋_GB2312"/>
          <w:sz w:val="32"/>
          <w:szCs w:val="32"/>
          <w:highlight w:val="none"/>
        </w:rPr>
        <w:t>：202</w:t>
      </w:r>
      <w:r>
        <w:rPr>
          <w:rFonts w:hint="eastAsia" w:eastAsia="仿宋_GB2312"/>
          <w:sz w:val="32"/>
          <w:szCs w:val="32"/>
          <w:highlight w:val="none"/>
          <w:lang w:val="en-US" w:eastAsia="zh-CN"/>
        </w:rPr>
        <w:t>3</w:t>
      </w:r>
      <w:r>
        <w:rPr>
          <w:rFonts w:hint="eastAsia" w:eastAsia="仿宋_GB2312"/>
          <w:sz w:val="32"/>
          <w:szCs w:val="32"/>
          <w:highlight w:val="none"/>
        </w:rPr>
        <w:t>年</w:t>
      </w:r>
      <w:r>
        <w:rPr>
          <w:rFonts w:hint="eastAsia" w:eastAsia="仿宋_GB2312"/>
          <w:sz w:val="32"/>
          <w:szCs w:val="32"/>
          <w:highlight w:val="none"/>
          <w:lang w:eastAsia="zh-CN"/>
        </w:rPr>
        <w:t>新增</w:t>
      </w:r>
      <w:r>
        <w:rPr>
          <w:rFonts w:hint="eastAsia" w:eastAsia="仿宋_GB2312"/>
          <w:sz w:val="32"/>
          <w:szCs w:val="32"/>
          <w:highlight w:val="none"/>
        </w:rPr>
        <w:t>3个科技人才队伍建设项目</w:t>
      </w:r>
      <w:r>
        <w:rPr>
          <w:rFonts w:hint="eastAsia" w:eastAsia="仿宋_GB2312"/>
          <w:sz w:val="32"/>
          <w:szCs w:val="32"/>
          <w:highlight w:val="none"/>
          <w:lang w:eastAsia="zh-CN"/>
        </w:rPr>
        <w:t>，</w:t>
      </w:r>
      <w:r>
        <w:rPr>
          <w:rFonts w:hint="eastAsia" w:eastAsia="仿宋_GB2312"/>
          <w:sz w:val="32"/>
          <w:szCs w:val="32"/>
          <w:highlight w:val="none"/>
        </w:rPr>
        <w:t>资金总额与上年相比增幅较大</w:t>
      </w:r>
      <w:r>
        <w:rPr>
          <w:rFonts w:hint="eastAsia" w:eastAsia="仿宋_GB2312"/>
          <w:sz w:val="32"/>
          <w:szCs w:val="32"/>
          <w:highlight w:val="none"/>
          <w:lang w:val="zh-CN"/>
        </w:rPr>
        <w:t>。</w:t>
      </w:r>
    </w:p>
    <w:p>
      <w:pPr>
        <w:ind w:firstLine="640" w:firstLineChars="200"/>
        <w:rPr>
          <w:rFonts w:eastAsia="仿宋_GB2312"/>
          <w:sz w:val="32"/>
          <w:szCs w:val="32"/>
          <w:highlight w:val="yellow"/>
          <w:lang w:val="zh-CN"/>
        </w:rPr>
      </w:pPr>
      <w:r>
        <w:rPr>
          <w:rFonts w:hint="eastAsia" w:eastAsia="仿宋_GB2312"/>
          <w:sz w:val="32"/>
          <w:szCs w:val="32"/>
        </w:rPr>
        <w:t>3.农林水支出（类）农业农村（款）农业生产发展（项）:支出决算数为670.00万元，比上年决算增加81.45万元，增长13.84%，主要原因是：</w:t>
      </w:r>
      <w:r>
        <w:rPr>
          <w:rFonts w:hint="eastAsia" w:eastAsia="仿宋_GB2312"/>
          <w:sz w:val="32"/>
          <w:szCs w:val="32"/>
          <w:highlight w:val="none"/>
        </w:rPr>
        <w:t>202</w:t>
      </w:r>
      <w:r>
        <w:rPr>
          <w:rFonts w:hint="eastAsia" w:eastAsia="仿宋_GB2312"/>
          <w:sz w:val="32"/>
          <w:szCs w:val="32"/>
          <w:highlight w:val="none"/>
          <w:lang w:val="en-US" w:eastAsia="zh-CN"/>
        </w:rPr>
        <w:t>3</w:t>
      </w:r>
      <w:r>
        <w:rPr>
          <w:rFonts w:hint="eastAsia" w:eastAsia="仿宋_GB2312"/>
          <w:sz w:val="32"/>
          <w:szCs w:val="32"/>
          <w:highlight w:val="none"/>
        </w:rPr>
        <w:t>年追加的</w:t>
      </w:r>
      <w:r>
        <w:rPr>
          <w:rFonts w:hint="eastAsia" w:eastAsia="仿宋_GB2312"/>
          <w:sz w:val="32"/>
          <w:szCs w:val="32"/>
          <w:highlight w:val="none"/>
          <w:lang w:val="en-US" w:eastAsia="zh-CN"/>
        </w:rPr>
        <w:t>1</w:t>
      </w:r>
      <w:r>
        <w:rPr>
          <w:rFonts w:hint="eastAsia" w:eastAsia="仿宋_GB2312"/>
          <w:sz w:val="32"/>
          <w:szCs w:val="32"/>
          <w:highlight w:val="none"/>
        </w:rPr>
        <w:t>个农业生产发展</w:t>
      </w:r>
      <w:r>
        <w:rPr>
          <w:rFonts w:hint="eastAsia" w:eastAsia="仿宋_GB2312"/>
          <w:sz w:val="32"/>
          <w:szCs w:val="32"/>
          <w:highlight w:val="none"/>
          <w:lang w:eastAsia="zh-CN"/>
        </w:rPr>
        <w:t>项目</w:t>
      </w:r>
      <w:r>
        <w:rPr>
          <w:rFonts w:hint="eastAsia" w:eastAsia="仿宋_GB2312"/>
          <w:sz w:val="32"/>
          <w:szCs w:val="32"/>
          <w:highlight w:val="none"/>
        </w:rPr>
        <w:t>，项目资金总额与上年相比增幅较大</w:t>
      </w:r>
      <w:r>
        <w:rPr>
          <w:rFonts w:hint="eastAsia" w:eastAsia="仿宋_GB2312"/>
          <w:sz w:val="32"/>
          <w:szCs w:val="32"/>
          <w:highlight w:val="none"/>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1,197.40万元，其中：人员经费1,106.38万元，包括：基本工资、津贴补贴、奖金、绩效工资、机关事业单位基本养老保险缴费、职业年金缴费、职工基本医疗保险缴费、其他社会保障缴费、住房公积金、其他工资福利支出、退休费、抚恤金、其他对个人和家庭的补助。</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公用经费91.02万元，包括：办公费、手续费、水费、电费、邮电费、取暖费、物业管理费、差旅费、公务接待费、工会经费、福利费、公务用车运行维护费、其他商品和服务支出</w:t>
      </w:r>
      <w:r>
        <w:rPr>
          <w:rFonts w:hint="eastAsia" w:ascii="仿宋_GB2312" w:eastAsia="仿宋_GB2312"/>
          <w:sz w:val="32"/>
          <w:szCs w:val="32"/>
          <w:highlight w:val="none"/>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“三公”经费支出1.86万元，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highlight w:val="none"/>
          <w:lang w:val="zh-CN"/>
        </w:rPr>
        <w:t>本年严格控制“三公”经费支出，严格控制因公出国（境）费用，加强公务用车管理，减少公车出行，严格按预算执行，不超标使用“三公”经费，使“三公”经费支出与上年持平。</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主要原因是：我单位未安排因公出国（境）费；公务用车购置及运行维护费支出1.36万元，占73.12%，比上年增加0.00万元，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主要原因是：严格依照相关要求，开展“三公”经费支出业务，加强公务用车管理，使公务用车购置及运行维护费支出与上年</w:t>
      </w:r>
      <w:r>
        <w:rPr>
          <w:rFonts w:hint="eastAsia" w:ascii="仿宋_GB2312" w:eastAsia="仿宋_GB2312"/>
          <w:sz w:val="32"/>
          <w:szCs w:val="32"/>
          <w:highlight w:val="none"/>
          <w:lang w:val="zh-CN"/>
        </w:rPr>
        <w:t>持平</w:t>
      </w:r>
      <w:r>
        <w:rPr>
          <w:rFonts w:hint="eastAsia" w:ascii="仿宋_GB2312" w:eastAsia="仿宋_GB2312"/>
          <w:sz w:val="32"/>
          <w:szCs w:val="32"/>
          <w:lang w:val="zh-CN"/>
        </w:rPr>
        <w:t>；公务接待费支出0.50万元，占26.88%，比上年增加0.00万元，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主要原因是：严格依照相关要求，开展“三公”经费支出业务，加强公务接待费支出管理，使公务接待费支出与预算持平。</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w:t>
      </w:r>
      <w:r>
        <w:rPr>
          <w:rFonts w:hint="eastAsia" w:ascii="仿宋_GB2312" w:eastAsia="仿宋_GB2312"/>
          <w:sz w:val="32"/>
          <w:szCs w:val="32"/>
          <w:lang w:eastAsia="zh-CN"/>
        </w:rPr>
        <w:t>未安排</w:t>
      </w:r>
      <w:r>
        <w:rPr>
          <w:rFonts w:hint="eastAsia" w:ascii="仿宋_GB2312" w:eastAsia="仿宋_GB2312"/>
          <w:sz w:val="32"/>
          <w:szCs w:val="32"/>
        </w:rPr>
        <w:t>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1.36万元，其中：公务用车购置费0.00万元，公务用车运行维护费1.36万元。公务用车运行维护费开支内容包括车辆年审及保险费、油料费、维修费和过路费。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原因是：国有资产占用情况中固定资产车辆与公务用车保有量一致，无差异。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公务接待费0.50万元，开支内容包括因科研交流等公务需要发生的接待费用。单位全年安排的国内公务接待6批次，63人次。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1.86万元，决算数1.86万元，预决算差异率0.00%，主要原因是：本年严格控制“三公”经费支出，严格控制因公出国（境）费用，加强公务用车管理，减少公车出行，严格按预算执行，不超标使用“三公”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0.00万元，决算数0.00万元，预决算差异率0.00%，主要原因是：我单位未安排因公出国（境）费；公务用车购置费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预算数0.00万元，决算数0.00万元，预决算差异率0.00%，主要原因是：我单位未安排公务用车购置费；公务用车运行费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预算数1.36万元，决算数1.36万元，预决算差异率0.00%，主要原因是：严格依照相关要求，开展“三公”经费支出业务，加强公务用车管理，使公务用车购置及运行维护费支出与上年持平；公务接待费</w:t>
      </w:r>
      <w:r>
        <w:rPr>
          <w:rFonts w:hint="eastAsia" w:ascii="仿宋_GB2312" w:eastAsia="仿宋_GB2312"/>
          <w:sz w:val="32"/>
          <w:szCs w:val="32"/>
        </w:rPr>
        <w:t>全年</w:t>
      </w:r>
      <w:r>
        <w:rPr>
          <w:rFonts w:hint="eastAsia" w:ascii="仿宋_GB2312" w:eastAsia="仿宋_GB2312"/>
          <w:sz w:val="32"/>
          <w:szCs w:val="32"/>
          <w:lang w:val="zh-CN"/>
        </w:rPr>
        <w:t>预算数0.50万元，决算数0.50万元，预决算差异率0.00%，主要原因是：严格依照相关要求，开展“三公”经费支出业务，加强公务接待费支出管理，使公务接待费支出与预算持平。</w:t>
      </w:r>
    </w:p>
    <w:p>
      <w:pPr>
        <w:ind w:firstLine="640" w:firstLineChars="200"/>
        <w:jc w:val="left"/>
        <w:outlineLvl w:val="1"/>
        <w:rPr>
          <w:rFonts w:ascii="仿宋_GB2312" w:eastAsia="仿宋_GB2312"/>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新疆维吾尔自治区葡萄瓜果研究所（事业单位）公用经费支出91.02万元，</w:t>
      </w:r>
      <w:r>
        <w:rPr>
          <w:rFonts w:hint="eastAsia" w:eastAsia="仿宋_GB2312"/>
          <w:sz w:val="32"/>
          <w:szCs w:val="32"/>
          <w:lang w:val="zh-CN"/>
        </w:rPr>
        <w:t>比上年增加5.10万元，增长5.94%，主要原因是：我单位公用经费实行定额包干制，因福利费、工会会费随着工资基数增加，比列相对提高。</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2023年度政府采购支出总额1.00万元，其中：政府采购货物支出0.02万元、政府采购工程支出0.00万元、政府采购服务支出0.98万元。</w:t>
      </w:r>
    </w:p>
    <w:p>
      <w:pPr>
        <w:ind w:firstLine="640" w:firstLineChars="200"/>
        <w:jc w:val="left"/>
        <w:rPr>
          <w:rFonts w:eastAsia="仿宋_GB2312"/>
          <w:sz w:val="32"/>
          <w:szCs w:val="32"/>
        </w:rPr>
      </w:pPr>
      <w:r>
        <w:rPr>
          <w:rFonts w:hint="eastAsia" w:eastAsia="仿宋_GB2312"/>
          <w:sz w:val="32"/>
          <w:szCs w:val="32"/>
          <w:lang w:val="zh-CN"/>
        </w:rPr>
        <w:t>授予中小企业合同金额0.74万元，占政府采购支出总额的74.00</w:t>
      </w:r>
      <w:r>
        <w:rPr>
          <w:rFonts w:eastAsia="仿宋_GB2312"/>
          <w:sz w:val="32"/>
          <w:szCs w:val="32"/>
          <w:lang w:val="zh-CN"/>
        </w:rPr>
        <w:t>%</w:t>
      </w:r>
      <w:r>
        <w:rPr>
          <w:rFonts w:hint="eastAsia" w:eastAsia="仿宋_GB2312"/>
          <w:sz w:val="32"/>
          <w:szCs w:val="32"/>
          <w:lang w:val="zh-CN"/>
        </w:rPr>
        <w:t>，其中：授予小微企业合同金额0.42万元，占政府采购支出总额的42.00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4,318.40</w:t>
      </w:r>
      <w:r>
        <w:rPr>
          <w:rFonts w:hint="eastAsia" w:eastAsia="仿宋_GB2312"/>
          <w:sz w:val="32"/>
          <w:szCs w:val="32"/>
        </w:rPr>
        <w:t>万元，房</w:t>
      </w:r>
      <w:r>
        <w:rPr>
          <w:rFonts w:hint="eastAsia" w:eastAsia="仿宋_GB2312"/>
          <w:sz w:val="32"/>
          <w:szCs w:val="32"/>
          <w:lang w:val="zh-CN"/>
        </w:rPr>
        <w:t>屋19832.91平方米，价值1,694.56万元。车辆1辆，价值27.39万元，其中：副部（省）级及以上领导用车0辆、主要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用车0辆、其他用车1辆，其他用车主要是：一般公务用车；单价100万元（含）以上设备（不含车辆）1</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keepNext w:val="0"/>
        <w:keepLines w:val="0"/>
        <w:widowControl w:val="0"/>
        <w:suppressLineNumbers w:val="0"/>
        <w:spacing w:before="0" w:beforeAutospacing="0" w:after="0" w:afterAutospacing="0"/>
        <w:ind w:left="0" w:right="0" w:firstLine="640" w:firstLineChars="200"/>
        <w:jc w:val="both"/>
        <w:rPr>
          <w:rFonts w:ascii="仿宋_GB2312" w:eastAsia="仿宋_GB2312"/>
          <w:sz w:val="32"/>
          <w:szCs w:val="32"/>
        </w:rPr>
      </w:pPr>
      <w:r>
        <w:rPr>
          <w:rFonts w:hint="eastAsia" w:ascii="仿宋_GB2312" w:eastAsia="仿宋_GB2312"/>
          <w:sz w:val="32"/>
          <w:szCs w:val="32"/>
        </w:rPr>
        <w:t>根据预算绩效管理要求，我单位2023年度预算绩效管理整体支出绩效自评表</w:t>
      </w:r>
      <w:r>
        <w:rPr>
          <w:rFonts w:hint="eastAsia" w:ascii="仿宋_GB2312" w:eastAsia="仿宋_GB2312"/>
          <w:sz w:val="32"/>
          <w:szCs w:val="32"/>
          <w:lang w:val="en-US" w:eastAsia="zh-CN"/>
        </w:rPr>
        <w:t>0</w:t>
      </w:r>
      <w:r>
        <w:rPr>
          <w:rFonts w:hint="eastAsia" w:ascii="仿宋_GB2312" w:eastAsia="仿宋_GB2312"/>
          <w:sz w:val="32"/>
          <w:szCs w:val="32"/>
        </w:rPr>
        <w:t>个，全年预算总额</w:t>
      </w:r>
      <w:r>
        <w:rPr>
          <w:rFonts w:hint="eastAsia" w:ascii="仿宋_GB2312" w:eastAsia="仿宋_GB2312"/>
          <w:sz w:val="32"/>
          <w:szCs w:val="32"/>
          <w:lang w:val="en-US" w:eastAsia="zh-CN"/>
        </w:rPr>
        <w:t>0</w:t>
      </w:r>
      <w:r>
        <w:rPr>
          <w:rFonts w:hint="eastAsia" w:ascii="仿宋_GB2312" w:eastAsia="仿宋_GB2312"/>
          <w:sz w:val="32"/>
          <w:szCs w:val="32"/>
        </w:rPr>
        <w:t>万元，实际执行总额</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default" w:ascii="仿宋_GB2312" w:hAnsi="Times New Roman" w:eastAsia="仿宋_GB2312" w:cs="仿宋_GB2312"/>
          <w:kern w:val="2"/>
          <w:sz w:val="32"/>
          <w:szCs w:val="32"/>
          <w:lang w:val="en-US" w:eastAsia="zh-CN" w:bidi="ar"/>
        </w:rPr>
        <w:t>我单位整体支出绩效自评是由自治区科技厅</w:t>
      </w:r>
      <w:r>
        <w:rPr>
          <w:rFonts w:hint="eastAsia" w:ascii="仿宋_GB2312" w:eastAsia="仿宋_GB2312" w:cs="仿宋_GB2312"/>
          <w:kern w:val="2"/>
          <w:sz w:val="32"/>
          <w:szCs w:val="32"/>
          <w:lang w:val="en-US" w:eastAsia="zh-CN" w:bidi="ar"/>
        </w:rPr>
        <w:t>（</w:t>
      </w:r>
      <w:r>
        <w:rPr>
          <w:rFonts w:hint="default" w:ascii="仿宋_GB2312" w:hAnsi="Times New Roman" w:eastAsia="仿宋_GB2312" w:cs="仿宋_GB2312"/>
          <w:kern w:val="2"/>
          <w:sz w:val="32"/>
          <w:szCs w:val="32"/>
          <w:lang w:val="en-US" w:eastAsia="zh-CN" w:bidi="ar"/>
        </w:rPr>
        <w:t>部门</w:t>
      </w:r>
      <w:r>
        <w:rPr>
          <w:rFonts w:hint="eastAsia" w:ascii="仿宋_GB2312" w:eastAsia="仿宋_GB2312" w:cs="仿宋_GB2312"/>
          <w:kern w:val="2"/>
          <w:sz w:val="32"/>
          <w:szCs w:val="32"/>
          <w:lang w:val="en-US" w:eastAsia="zh-CN" w:bidi="ar"/>
        </w:rPr>
        <w:t>）</w:t>
      </w:r>
      <w:r>
        <w:rPr>
          <w:rFonts w:hint="default" w:ascii="仿宋_GB2312" w:hAnsi="Times New Roman" w:eastAsia="仿宋_GB2312" w:cs="仿宋_GB2312"/>
          <w:kern w:val="2"/>
          <w:sz w:val="32"/>
          <w:szCs w:val="32"/>
          <w:lang w:val="en-US" w:eastAsia="zh-CN" w:bidi="ar"/>
        </w:rPr>
        <w:t>完成</w:t>
      </w:r>
      <w:r>
        <w:rPr>
          <w:rFonts w:hint="default" w:ascii="仿宋_GB2312" w:hAnsi="Times New Roman" w:eastAsia="仿宋_GB2312" w:cs="仿宋_GB2312"/>
          <w:kern w:val="2"/>
          <w:sz w:val="32"/>
          <w:szCs w:val="32"/>
          <w:lang w:eastAsia="zh-CN" w:bidi="ar"/>
        </w:rPr>
        <w:t>;</w:t>
      </w:r>
      <w:r>
        <w:rPr>
          <w:rFonts w:hint="eastAsia" w:ascii="仿宋_GB2312" w:eastAsia="仿宋_GB2312"/>
          <w:sz w:val="32"/>
          <w:szCs w:val="32"/>
          <w:highlight w:val="none"/>
        </w:rPr>
        <w:t>预算</w:t>
      </w:r>
      <w:r>
        <w:rPr>
          <w:rFonts w:hint="eastAsia" w:ascii="仿宋_GB2312" w:eastAsia="仿宋_GB2312"/>
          <w:sz w:val="32"/>
          <w:szCs w:val="32"/>
        </w:rPr>
        <w:t>绩效评价项目</w:t>
      </w:r>
      <w:r>
        <w:rPr>
          <w:rFonts w:hint="eastAsia" w:ascii="仿宋_GB2312" w:eastAsia="仿宋_GB2312"/>
          <w:sz w:val="32"/>
          <w:szCs w:val="32"/>
          <w:lang w:val="en-US" w:eastAsia="zh-CN"/>
        </w:rPr>
        <w:t>18</w:t>
      </w:r>
      <w:r>
        <w:rPr>
          <w:rFonts w:hint="eastAsia" w:ascii="仿宋_GB2312" w:eastAsia="仿宋_GB2312"/>
          <w:sz w:val="32"/>
          <w:szCs w:val="32"/>
        </w:rPr>
        <w:t>个，全年预算数</w:t>
      </w:r>
      <w:r>
        <w:rPr>
          <w:rFonts w:hint="eastAsia" w:ascii="仿宋_GB2312" w:eastAsia="仿宋_GB2312"/>
          <w:sz w:val="32"/>
          <w:szCs w:val="32"/>
          <w:lang w:val="en-US" w:eastAsia="zh-CN"/>
        </w:rPr>
        <w:t>1151.97</w:t>
      </w:r>
      <w:r>
        <w:rPr>
          <w:rFonts w:hint="eastAsia" w:ascii="仿宋_GB2312" w:eastAsia="仿宋_GB2312"/>
          <w:sz w:val="32"/>
          <w:szCs w:val="32"/>
        </w:rPr>
        <w:t>万元，全年执行数</w:t>
      </w:r>
      <w:r>
        <w:rPr>
          <w:rFonts w:hint="eastAsia" w:ascii="仿宋_GB2312" w:eastAsia="仿宋_GB2312"/>
          <w:sz w:val="32"/>
          <w:szCs w:val="32"/>
          <w:lang w:val="en-US" w:eastAsia="zh-CN"/>
        </w:rPr>
        <w:t>1151.97</w:t>
      </w:r>
      <w:r>
        <w:rPr>
          <w:rFonts w:hint="eastAsia" w:ascii="仿宋_GB2312" w:eastAsia="仿宋_GB2312"/>
          <w:sz w:val="32"/>
          <w:szCs w:val="32"/>
        </w:rPr>
        <w:t>万元。预算绩效管理取得的成效：一是通过开展预算项目的绩效评价，梳理项目执行情况、取得的成效、资金使用和制度建设情况，及时总结经验，发现问题，提出整改意见和建议；二是通过绩效评价，进一步规范项目实施程序，加强项目管理和监督，完善制度建设，严格资金的使用管理，确保项目资金使用管理的规范性、安全性和有效性，确保项目按时、按质、按量完成。发现的问题及原因：一是预算绩效管理意识有待提高，绩效管理意识不强；二是缺少熟悉运用预算绩效管理专门的工作人员，相关的工作人员进行预算绩效管理的经验不足，人员知识储备和培训强度远远达不到要求。导致前期绩效目标不够细致，没有考虑到项目实施可能遇到变量。下一步改进措施：一是完善预算绩效管理基础工作，做细各项绩效指标；二是抓好绩效评价管理部门的队伍建设和业务指导，培育部门的绩效评价管理队伍，并加强业务培训。具体项目自评情况附绩效自评表</w:t>
      </w:r>
      <w:r>
        <w:rPr>
          <w:rFonts w:hint="eastAsia" w:ascii="仿宋_GB2312" w:eastAsia="仿宋_GB2312"/>
          <w:sz w:val="32"/>
          <w:szCs w:val="32"/>
          <w:lang w:val="en-US" w:eastAsia="zh-CN"/>
        </w:rPr>
        <w:t>及自评报告</w:t>
      </w:r>
      <w:r>
        <w:rPr>
          <w:rFonts w:hint="eastAsia" w:ascii="仿宋_GB2312" w:eastAsia="仿宋_GB2312"/>
          <w:sz w:val="32"/>
          <w:szCs w:val="32"/>
        </w:rPr>
        <w:t>。</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tabs>
          <w:tab w:val="center" w:pos="4153"/>
        </w:tabs>
        <w:ind w:firstLine="640" w:firstLineChars="200"/>
        <w:jc w:val="both"/>
        <w:rPr>
          <w:rFonts w:hint="eastAsia" w:ascii="黑体" w:hAnsi="黑体" w:eastAsia="黑体"/>
          <w:sz w:val="32"/>
          <w:szCs w:val="32"/>
          <w:lang w:val="en-US" w:eastAsia="zh-CN"/>
        </w:rPr>
      </w:pPr>
      <w:r>
        <w:rPr>
          <w:rFonts w:hint="eastAsia" w:ascii="仿宋_GB2312" w:hAnsi="仿宋_GB2312" w:eastAsia="仿宋_GB2312" w:cs="仿宋_GB2312"/>
          <w:kern w:val="0"/>
          <w:sz w:val="32"/>
          <w:szCs w:val="32"/>
        </w:rPr>
        <w:t>本单位无其他需说明事项</w:t>
      </w:r>
      <w:r>
        <w:rPr>
          <w:rFonts w:hint="eastAsia" w:ascii="仿宋_GB2312" w:hAnsi="仿宋_GB2312" w:eastAsia="仿宋_GB2312" w:cs="仿宋_GB2312"/>
          <w:kern w:val="0"/>
          <w:sz w:val="32"/>
          <w:szCs w:val="32"/>
          <w:lang w:eastAsia="zh-CN"/>
        </w:rPr>
        <w:tab/>
      </w:r>
      <w:r>
        <w:rPr>
          <w:rFonts w:hint="eastAsia" w:ascii="仿宋_GB2312" w:hAnsi="仿宋_GB2312" w:eastAsia="仿宋_GB2312" w:cs="仿宋_GB2312"/>
          <w:kern w:val="0"/>
          <w:sz w:val="32"/>
          <w:szCs w:val="32"/>
          <w:lang w:eastAsia="zh-CN"/>
        </w:rPr>
        <w:t>。</w:t>
      </w:r>
      <w:bookmarkStart w:id="30" w:name="_Toc3250"/>
      <w:bookmarkStart w:id="31" w:name="_Toc24143"/>
      <w:bookmarkStart w:id="48" w:name="_GoBack"/>
      <w:bookmarkEnd w:id="48"/>
      <w:r>
        <w:rPr>
          <w:rFonts w:hint="eastAsia" w:ascii="黑体" w:hAnsi="黑体" w:eastAsia="黑体"/>
          <w:sz w:val="32"/>
          <w:szCs w:val="32"/>
        </w:rPr>
        <w:br w:type="page"/>
      </w:r>
      <w:r>
        <w:rPr>
          <w:rFonts w:hint="eastAsia" w:ascii="黑体" w:hAnsi="黑体" w:eastAsia="黑体"/>
          <w:sz w:val="32"/>
          <w:szCs w:val="32"/>
          <w:lang w:val="en-US" w:eastAsia="zh-CN"/>
        </w:rPr>
        <w:t xml:space="preserve">              </w:t>
      </w:r>
    </w:p>
    <w:p>
      <w:pPr>
        <w:tabs>
          <w:tab w:val="center" w:pos="4153"/>
        </w:tabs>
        <w:ind w:firstLine="640" w:firstLineChars="200"/>
        <w:jc w:val="center"/>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MfG7OrgEAAEsD&#10;AAAOAAAAAAAAAAEAIAAAAB4BAABkcnMvZTJvRG9jLnhtbFBLBQYAAAAABgAGAFkBAAA+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jZjQyMzBhY2Q0MDkzM2MxYzExNmY0ZTNjMmRjYWQifQ=="/>
    <w:docVar w:name="KSO_WPS_MARK_KEY" w:val="41ee2a61-2d54-4f93-83be-afdb9a40d732"/>
  </w:docVars>
  <w:rsids>
    <w:rsidRoot w:val="000F0E74"/>
    <w:rsid w:val="000F0E74"/>
    <w:rsid w:val="00213C59"/>
    <w:rsid w:val="002721BD"/>
    <w:rsid w:val="00301C5C"/>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0B5F91"/>
    <w:rsid w:val="053F5AE6"/>
    <w:rsid w:val="057C0B0F"/>
    <w:rsid w:val="05EF4B48"/>
    <w:rsid w:val="05F76ECA"/>
    <w:rsid w:val="06792773"/>
    <w:rsid w:val="07093795"/>
    <w:rsid w:val="07804730"/>
    <w:rsid w:val="079052BE"/>
    <w:rsid w:val="08145C21"/>
    <w:rsid w:val="08422688"/>
    <w:rsid w:val="085854ED"/>
    <w:rsid w:val="08634EFE"/>
    <w:rsid w:val="0879188F"/>
    <w:rsid w:val="089B216C"/>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050052"/>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89276C"/>
    <w:rsid w:val="1AD807E5"/>
    <w:rsid w:val="1B39345B"/>
    <w:rsid w:val="1BB43819"/>
    <w:rsid w:val="1BFB2A1F"/>
    <w:rsid w:val="1C015D4A"/>
    <w:rsid w:val="1C290ED5"/>
    <w:rsid w:val="1C317E4F"/>
    <w:rsid w:val="1C472464"/>
    <w:rsid w:val="1C822555"/>
    <w:rsid w:val="1D22799A"/>
    <w:rsid w:val="1D5C1A72"/>
    <w:rsid w:val="1DAF458D"/>
    <w:rsid w:val="1E086ACE"/>
    <w:rsid w:val="1E62130A"/>
    <w:rsid w:val="1E97358B"/>
    <w:rsid w:val="1EAA4A5F"/>
    <w:rsid w:val="1EE869A7"/>
    <w:rsid w:val="1FA15E62"/>
    <w:rsid w:val="1FE177E6"/>
    <w:rsid w:val="1FED69B6"/>
    <w:rsid w:val="2064678E"/>
    <w:rsid w:val="20DC1AB9"/>
    <w:rsid w:val="20DD6197"/>
    <w:rsid w:val="212631E0"/>
    <w:rsid w:val="21A53757"/>
    <w:rsid w:val="21E74AF4"/>
    <w:rsid w:val="221236C6"/>
    <w:rsid w:val="22D7662C"/>
    <w:rsid w:val="23326B7F"/>
    <w:rsid w:val="2380045B"/>
    <w:rsid w:val="23BC04D2"/>
    <w:rsid w:val="23EF1892"/>
    <w:rsid w:val="24561F7E"/>
    <w:rsid w:val="2483647E"/>
    <w:rsid w:val="24A32D55"/>
    <w:rsid w:val="25292727"/>
    <w:rsid w:val="252E5CA9"/>
    <w:rsid w:val="256F7692"/>
    <w:rsid w:val="25BA2154"/>
    <w:rsid w:val="25C8773F"/>
    <w:rsid w:val="264A7253"/>
    <w:rsid w:val="26F0170C"/>
    <w:rsid w:val="27201D62"/>
    <w:rsid w:val="27286E73"/>
    <w:rsid w:val="27A9601B"/>
    <w:rsid w:val="27CF2642"/>
    <w:rsid w:val="27E777F5"/>
    <w:rsid w:val="27EA1D4C"/>
    <w:rsid w:val="27EA2E41"/>
    <w:rsid w:val="282459E2"/>
    <w:rsid w:val="283A7FE5"/>
    <w:rsid w:val="285F51FF"/>
    <w:rsid w:val="28DF2665"/>
    <w:rsid w:val="29072599"/>
    <w:rsid w:val="291029F3"/>
    <w:rsid w:val="29CB58F0"/>
    <w:rsid w:val="29D907BC"/>
    <w:rsid w:val="2A053397"/>
    <w:rsid w:val="2A145E96"/>
    <w:rsid w:val="2A2131BB"/>
    <w:rsid w:val="2AF5378F"/>
    <w:rsid w:val="2BB94DBF"/>
    <w:rsid w:val="2C6F314E"/>
    <w:rsid w:val="2CC206BE"/>
    <w:rsid w:val="2D1136DF"/>
    <w:rsid w:val="2D20606D"/>
    <w:rsid w:val="2DB87198"/>
    <w:rsid w:val="2DB93C54"/>
    <w:rsid w:val="2E3D144C"/>
    <w:rsid w:val="2E891204"/>
    <w:rsid w:val="2F0F3C79"/>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3D13D9"/>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5488F"/>
    <w:rsid w:val="42171FB1"/>
    <w:rsid w:val="434E6957"/>
    <w:rsid w:val="43BA0E31"/>
    <w:rsid w:val="43C15147"/>
    <w:rsid w:val="43E14DD2"/>
    <w:rsid w:val="43F800E9"/>
    <w:rsid w:val="443A7E4B"/>
    <w:rsid w:val="452F5B3A"/>
    <w:rsid w:val="454E7FD2"/>
    <w:rsid w:val="45872E0A"/>
    <w:rsid w:val="46061BDC"/>
    <w:rsid w:val="461404F8"/>
    <w:rsid w:val="46413018"/>
    <w:rsid w:val="464B7E04"/>
    <w:rsid w:val="468041AA"/>
    <w:rsid w:val="468123C6"/>
    <w:rsid w:val="46901EEE"/>
    <w:rsid w:val="469C74D2"/>
    <w:rsid w:val="46D658D3"/>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39119E"/>
    <w:rsid w:val="50447CC2"/>
    <w:rsid w:val="50874A7C"/>
    <w:rsid w:val="50895EE7"/>
    <w:rsid w:val="50921B9D"/>
    <w:rsid w:val="50D16158"/>
    <w:rsid w:val="50DB5F45"/>
    <w:rsid w:val="51025EB1"/>
    <w:rsid w:val="51141503"/>
    <w:rsid w:val="518D0ED5"/>
    <w:rsid w:val="525C687F"/>
    <w:rsid w:val="52F647F7"/>
    <w:rsid w:val="52F92565"/>
    <w:rsid w:val="53C71634"/>
    <w:rsid w:val="53D03877"/>
    <w:rsid w:val="542F73CA"/>
    <w:rsid w:val="5430786D"/>
    <w:rsid w:val="545A1D2A"/>
    <w:rsid w:val="54C811C0"/>
    <w:rsid w:val="556A442D"/>
    <w:rsid w:val="55DA564E"/>
    <w:rsid w:val="5604127D"/>
    <w:rsid w:val="56166703"/>
    <w:rsid w:val="56510474"/>
    <w:rsid w:val="56861525"/>
    <w:rsid w:val="56A93273"/>
    <w:rsid w:val="56BD550C"/>
    <w:rsid w:val="56D147C6"/>
    <w:rsid w:val="56E07045"/>
    <w:rsid w:val="56FF28AF"/>
    <w:rsid w:val="571526B6"/>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CFA0384"/>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7E1BB2"/>
    <w:rsid w:val="67902011"/>
    <w:rsid w:val="67C304AB"/>
    <w:rsid w:val="6812415B"/>
    <w:rsid w:val="683F0658"/>
    <w:rsid w:val="689C6793"/>
    <w:rsid w:val="68DB0208"/>
    <w:rsid w:val="68FB170C"/>
    <w:rsid w:val="691B3D98"/>
    <w:rsid w:val="693748F0"/>
    <w:rsid w:val="69846A0E"/>
    <w:rsid w:val="69AA1366"/>
    <w:rsid w:val="69AD798C"/>
    <w:rsid w:val="69D005C0"/>
    <w:rsid w:val="69D80B96"/>
    <w:rsid w:val="6A741E5F"/>
    <w:rsid w:val="6B68175F"/>
    <w:rsid w:val="6BFD799F"/>
    <w:rsid w:val="6C4A2E5A"/>
    <w:rsid w:val="6C8138D0"/>
    <w:rsid w:val="6CEF0725"/>
    <w:rsid w:val="6D4B2604"/>
    <w:rsid w:val="6D8030E4"/>
    <w:rsid w:val="6E0E35C4"/>
    <w:rsid w:val="6E0F7A08"/>
    <w:rsid w:val="6E192634"/>
    <w:rsid w:val="6E3947F5"/>
    <w:rsid w:val="6E9C74ED"/>
    <w:rsid w:val="6EF72976"/>
    <w:rsid w:val="6F795A80"/>
    <w:rsid w:val="6F7C1D2E"/>
    <w:rsid w:val="6F8E0407"/>
    <w:rsid w:val="6FDD069F"/>
    <w:rsid w:val="6FF2432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6D573F"/>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5B7561"/>
    <w:rsid w:val="7873527F"/>
    <w:rsid w:val="790A6425"/>
    <w:rsid w:val="790E2D96"/>
    <w:rsid w:val="791B54B2"/>
    <w:rsid w:val="795A0A34"/>
    <w:rsid w:val="797339C3"/>
    <w:rsid w:val="797B3A47"/>
    <w:rsid w:val="79D57D57"/>
    <w:rsid w:val="79F00650"/>
    <w:rsid w:val="7A6242BF"/>
    <w:rsid w:val="7A794513"/>
    <w:rsid w:val="7AE952D2"/>
    <w:rsid w:val="7C7248A0"/>
    <w:rsid w:val="7C976D69"/>
    <w:rsid w:val="7CD752DA"/>
    <w:rsid w:val="7CDE40AB"/>
    <w:rsid w:val="7CF057E2"/>
    <w:rsid w:val="7D1548B5"/>
    <w:rsid w:val="7D7D04EA"/>
    <w:rsid w:val="7DDD13DA"/>
    <w:rsid w:val="7DF84014"/>
    <w:rsid w:val="7E120669"/>
    <w:rsid w:val="7E207949"/>
    <w:rsid w:val="7E5C0A47"/>
    <w:rsid w:val="7E670C75"/>
    <w:rsid w:val="7EE24272"/>
    <w:rsid w:val="7EEA6053"/>
    <w:rsid w:val="7F487C04"/>
    <w:rsid w:val="7FB45F21"/>
    <w:rsid w:val="7FD6B7C0"/>
    <w:rsid w:val="7FE57088"/>
    <w:rsid w:val="7FF37F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pPr>
      <w:spacing w:before="214"/>
      <w:ind w:left="120"/>
    </w:pPr>
    <w:rPr>
      <w:rFonts w:ascii="宋体" w:hAnsi="宋体" w:eastAsia="宋体" w:cs="宋体"/>
      <w:sz w:val="32"/>
      <w:szCs w:val="32"/>
      <w:lang w:val="en-US" w:eastAsia="zh-CN" w:bidi="ar-SA"/>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5875</Words>
  <Characters>6506</Characters>
  <Lines>1</Lines>
  <Paragraphs>1</Paragraphs>
  <TotalTime>1</TotalTime>
  <ScaleCrop>false</ScaleCrop>
  <LinksUpToDate>false</LinksUpToDate>
  <CharactersWithSpaces>6542</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2024-08-16T03:03:00Z</dcterms:created>
  <dc:creator>GXR</dc:creator>
  <cp:lastModifiedBy>Administrator</cp:lastModifiedBy>
  <dcterms:modified xsi:type="dcterms:W3CDTF">2024-08-23T02:53:41Z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D624B15633CD43C8BF9435464A96BF70</vt:lpwstr>
  </property>
</Properties>
</file>