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新疆林业测试中心</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color w:val="auto"/>
          <w:sz w:val="32"/>
          <w:szCs w:val="32"/>
          <w:highlight w:val="none"/>
        </w:rPr>
      </w:pPr>
      <w:bookmarkStart w:id="4" w:name="_Toc31238"/>
      <w:bookmarkStart w:id="5" w:name="_Toc2151"/>
      <w:r>
        <w:rPr>
          <w:rFonts w:hint="eastAsia" w:ascii="仿宋_GB2312" w:eastAsia="仿宋_GB2312"/>
          <w:color w:val="auto"/>
          <w:sz w:val="32"/>
          <w:szCs w:val="32"/>
          <w:highlight w:val="none"/>
        </w:rPr>
        <w:t>承揽社会各类单位委托的相关检测工作，开展相关产品质量监督检验检测技术和标准的研究工作。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新疆林业测试中心</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4</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3</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1</w:t>
      </w:r>
      <w:r>
        <w:rPr>
          <w:rFonts w:hint="eastAsia" w:ascii="仿宋_GB2312" w:eastAsia="仿宋_GB2312"/>
          <w:color w:val="auto"/>
          <w:sz w:val="32"/>
          <w:szCs w:val="32"/>
          <w:highlight w:val="none"/>
        </w:rPr>
        <w:t>人。</w:t>
      </w:r>
    </w:p>
    <w:p>
      <w:pPr>
        <w:ind w:firstLine="640" w:firstLineChars="200"/>
        <w:rPr>
          <w:rFonts w:ascii="仿宋_GB2312" w:eastAsia="仿宋_GB2312"/>
          <w:sz w:val="32"/>
          <w:szCs w:val="32"/>
        </w:rPr>
      </w:pPr>
      <w:r>
        <w:rPr>
          <w:rFonts w:hint="eastAsia" w:ascii="仿宋_GB2312" w:hAnsi="黑体" w:eastAsia="仿宋_GB2312" w:cs="宋体"/>
          <w:bCs/>
          <w:color w:val="auto"/>
          <w:kern w:val="0"/>
          <w:sz w:val="32"/>
          <w:szCs w:val="32"/>
          <w:highlight w:val="none"/>
        </w:rPr>
        <w:t>单位无下属预算单位，</w:t>
      </w:r>
      <w:r>
        <w:rPr>
          <w:rFonts w:hint="eastAsia" w:ascii="仿宋_GB2312" w:hAnsi="黑体" w:eastAsia="仿宋_GB2312" w:cs="宋体"/>
          <w:bCs/>
          <w:kern w:val="0"/>
          <w:sz w:val="32"/>
          <w:szCs w:val="32"/>
        </w:rPr>
        <w:t>下设</w:t>
      </w:r>
      <w:r>
        <w:rPr>
          <w:rFonts w:hint="eastAsia" w:ascii="仿宋_GB2312" w:eastAsia="仿宋_GB2312"/>
          <w:sz w:val="32"/>
          <w:szCs w:val="32"/>
        </w:rPr>
        <w:t>3</w:t>
      </w:r>
      <w:r>
        <w:rPr>
          <w:rFonts w:hint="eastAsia" w:ascii="仿宋_GB2312" w:hAnsi="黑体" w:eastAsia="仿宋_GB2312" w:cs="宋体"/>
          <w:bCs/>
          <w:kern w:val="0"/>
          <w:sz w:val="32"/>
          <w:szCs w:val="32"/>
        </w:rPr>
        <w:t>个处室，分别是：分析实验室、生物实验室、中心开放实验室</w:t>
      </w:r>
      <w:r>
        <w:rPr>
          <w:rFonts w:hint="eastAsia" w:ascii="仿宋_GB2312" w:hAnsi="宋体" w:eastAsia="仿宋_GB2312" w:cs="宋体"/>
          <w:kern w:val="0"/>
          <w:sz w:val="32"/>
          <w:szCs w:val="32"/>
        </w:rPr>
        <w:t>。</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宋体" w:eastAsia="仿宋_GB2312" w:cs="宋体"/>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3092"/>
      <w:bookmarkStart w:id="7"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579.84万元，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517.54万元，使用非财政拨款结余0.00万元，年初结转和结余62.30万元。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579.84万元，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516.50万元，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0.00万元，年末结转和结余63.34万元。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增加94.22万元</w:t>
      </w:r>
      <w:r>
        <w:rPr>
          <w:rFonts w:hint="eastAsia" w:ascii="仿宋_GB2312" w:eastAsia="仿宋_GB2312"/>
          <w:color w:val="auto"/>
          <w:spacing w:val="0"/>
          <w:sz w:val="32"/>
          <w:szCs w:val="32"/>
          <w:highlight w:val="none"/>
          <w:lang w:eastAsia="zh-CN"/>
        </w:rPr>
        <w:t>，增长19.40%，主要原因是：政策性因素增资使得人员经费相应增长；同时项目申报数量增加，项目经费相较上年增加。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517.54</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442.33</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85.47</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74.84</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14.46</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0.38</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0.07</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本年支出516.50万元，其中：基本支出106.33万元，占20.59%；项目支出410.17万元，占79.41%；上缴上级支出0.00万元，占0.00%；经营支出0.00万元，占0.00%；对附属单位补助支出0.00万元，占0.00%。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442.33</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442.33</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442.33</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442.33</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增加119.71万元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增长37.10%,</w:t>
      </w:r>
      <w:r>
        <w:rPr>
          <w:rFonts w:hint="eastAsia" w:ascii="仿宋_GB2312" w:eastAsia="仿宋_GB2312"/>
          <w:color w:val="auto"/>
          <w:spacing w:val="0"/>
          <w:sz w:val="32"/>
          <w:szCs w:val="32"/>
          <w:highlight w:val="none"/>
          <w:lang w:eastAsia="zh-CN"/>
        </w:rPr>
        <w:t>主要原因是：政策性因素增资使得人员经费相应增长；同时项目申报数量增加，项目经费相较上年增加。与年初预算相比，年初预算数</w:t>
      </w:r>
      <w:r>
        <w:rPr>
          <w:rFonts w:hint="eastAsia" w:ascii="仿宋_GB2312" w:eastAsia="仿宋_GB2312"/>
          <w:color w:val="auto"/>
          <w:spacing w:val="0"/>
          <w:sz w:val="32"/>
          <w:szCs w:val="32"/>
          <w:highlight w:val="none"/>
          <w:lang w:val="zh-CN" w:eastAsia="zh-CN"/>
        </w:rPr>
        <w:t>355.61</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442.33</w:t>
      </w:r>
      <w:r>
        <w:rPr>
          <w:rFonts w:hint="eastAsia" w:ascii="仿宋_GB2312" w:eastAsia="仿宋_GB2312"/>
          <w:color w:val="auto"/>
          <w:spacing w:val="0"/>
          <w:sz w:val="32"/>
          <w:szCs w:val="32"/>
          <w:highlight w:val="none"/>
          <w:lang w:eastAsia="zh-CN"/>
        </w:rPr>
        <w:t>万元，预决算差异率24.39%，主要原因是：预算执行中新增项目支出。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2023年度一般公共预算财政拨款支出442.33万元，占本年支出合计的</w:t>
      </w:r>
      <w:r>
        <w:rPr>
          <w:rFonts w:hint="eastAsia" w:ascii="仿宋_GB2312" w:eastAsia="仿宋_GB2312"/>
          <w:color w:val="auto"/>
          <w:spacing w:val="0"/>
          <w:sz w:val="32"/>
          <w:szCs w:val="32"/>
          <w:highlight w:val="none"/>
          <w:lang w:val="zh-CN" w:eastAsia="zh-CN"/>
        </w:rPr>
        <w:t>85.64%</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增加119.71万元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增长37.10%,</w:t>
      </w:r>
      <w:r>
        <w:rPr>
          <w:rFonts w:hint="eastAsia" w:ascii="仿宋_GB2312" w:eastAsia="仿宋_GB2312"/>
          <w:color w:val="auto"/>
          <w:spacing w:val="0"/>
          <w:sz w:val="32"/>
          <w:szCs w:val="32"/>
          <w:highlight w:val="none"/>
          <w:lang w:eastAsia="zh-CN"/>
        </w:rPr>
        <w:t>主要原因是：政策性因素增资使得人员经费相应增长；同时项目申报数量增加，项目经费相较上年增加。与年初预算相比，年初预算数</w:t>
      </w:r>
      <w:r>
        <w:rPr>
          <w:rFonts w:hint="eastAsia" w:ascii="仿宋_GB2312" w:eastAsia="仿宋_GB2312"/>
          <w:color w:val="auto"/>
          <w:spacing w:val="0"/>
          <w:sz w:val="32"/>
          <w:szCs w:val="32"/>
          <w:highlight w:val="none"/>
          <w:lang w:val="zh-CN" w:eastAsia="zh-CN"/>
        </w:rPr>
        <w:t>355.61</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442.33</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24.39%</w:t>
      </w:r>
      <w:r>
        <w:rPr>
          <w:rFonts w:hint="eastAsia" w:ascii="仿宋_GB2312" w:eastAsia="仿宋_GB2312"/>
          <w:color w:val="auto"/>
          <w:spacing w:val="0"/>
          <w:sz w:val="32"/>
          <w:szCs w:val="32"/>
          <w:highlight w:val="none"/>
          <w:lang w:eastAsia="zh-CN"/>
        </w:rPr>
        <w:t>，主要原因是：预算执行中新增项目支出。</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lang w:val="zh-CN"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科学技术支出（类）</w:t>
      </w:r>
      <w:r>
        <w:rPr>
          <w:rFonts w:hint="eastAsia" w:ascii="仿宋_GB2312" w:hAnsi="Times New Roman" w:eastAsia="仿宋_GB2312" w:cs="Times New Roman"/>
          <w:color w:val="auto"/>
          <w:spacing w:val="0"/>
          <w:kern w:val="2"/>
          <w:sz w:val="32"/>
          <w:szCs w:val="32"/>
          <w:highlight w:val="none"/>
          <w:lang w:val="zh-CN" w:eastAsia="zh-CN" w:bidi="ar-SA"/>
        </w:rPr>
        <w:t>176.33</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39.86</w:t>
      </w:r>
      <w:r>
        <w:rPr>
          <w:rFonts w:hint="default" w:ascii="仿宋_GB2312" w:hAnsi="Times New Roman" w:eastAsia="仿宋_GB2312" w:cs="Times New Roman"/>
          <w:color w:val="auto"/>
          <w:spacing w:val="0"/>
          <w:kern w:val="2"/>
          <w:sz w:val="32"/>
          <w:szCs w:val="32"/>
          <w:highlight w:val="none"/>
          <w:lang w:val="en-US"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en-US" w:eastAsia="zh-CN" w:bidi="ar-SA"/>
        </w:rPr>
      </w:pPr>
      <w:r>
        <w:rPr>
          <w:rFonts w:hint="default" w:ascii="仿宋_GB2312" w:hAnsi="Times New Roman"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highlight w:val="none"/>
          <w:lang w:val="zh-CN" w:eastAsia="zh-CN" w:bidi="ar-SA"/>
        </w:rPr>
        <w:t>农林水支出（类）</w:t>
      </w:r>
      <w:r>
        <w:rPr>
          <w:rFonts w:hint="eastAsia" w:ascii="仿宋_GB2312" w:hAnsi="Times New Roman" w:eastAsia="仿宋_GB2312" w:cs="Times New Roman"/>
          <w:color w:val="auto"/>
          <w:spacing w:val="0"/>
          <w:kern w:val="2"/>
          <w:sz w:val="32"/>
          <w:szCs w:val="32"/>
          <w:highlight w:val="none"/>
          <w:lang w:val="zh-CN" w:eastAsia="zh-CN" w:bidi="ar-SA"/>
        </w:rPr>
        <w:t>266.00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60.14</w:t>
      </w:r>
      <w:r>
        <w:rPr>
          <w:rFonts w:hint="default" w:ascii="仿宋_GB2312" w:hAnsi="Times New Roman" w:eastAsia="仿宋_GB2312" w:cs="Times New Roman"/>
          <w:color w:val="auto"/>
          <w:spacing w:val="0"/>
          <w:kern w:val="2"/>
          <w:sz w:val="32"/>
          <w:szCs w:val="32"/>
          <w:highlight w:val="none"/>
          <w:lang w:val="zh-CN" w:eastAsia="zh-CN" w:bidi="ar-SA"/>
        </w:rPr>
        <w:t>%</w:t>
      </w:r>
      <w:r>
        <w:rPr>
          <w:rFonts w:hint="eastAsia" w:ascii="仿宋_GB2312"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1.科学技术支出（类）应用研究（款）机构运行（项）:支出决算数为106.33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13.71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14.80%，主要原因是：政策性因素增资使得相应人员经费支出增加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2.农林水支出（类）林业和草原（款）其他林业和草原支出（项）:支出决算数为266.00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36.00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15.65%，主要原因是：</w:t>
      </w:r>
      <w:r>
        <w:rPr>
          <w:rFonts w:hint="eastAsia" w:ascii="Times New Roman" w:hAnsi="Times New Roman" w:eastAsia="仿宋_GB2312" w:cs="Times New Roman"/>
          <w:color w:val="auto"/>
          <w:kern w:val="2"/>
          <w:sz w:val="32"/>
          <w:szCs w:val="32"/>
          <w:highlight w:val="none"/>
          <w:lang w:val="zh-CN" w:eastAsia="zh-CN" w:bidi="ar-SA"/>
        </w:rPr>
        <w:t>申报项目数量增加，相应项目经费支出较上年增加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3.科学技术支出（类）基础研究（款）科技人才队伍建设（项）:支出决算数为70.00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70.00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en-US" w:eastAsia="zh-CN" w:bidi="ar-SA"/>
        </w:rPr>
        <w:t>2023年新增项目导致项目经费支出增加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106.33</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98.42</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基本工资、津贴补贴、奖金、机关事业单位基本养老保险缴费、职业年金缴费、职工基本医疗保险缴费、公务员医疗补助缴费、其他社会保障缴费、住房公积金、退休费。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red"/>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7.91</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办公费、水费、邮电费、工会经费、福利费、税金及附加费用、其他商品和服务支出。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“三公”经费支出0.00万元，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主要原因是：我单位无财政拨款“三公”经费支出。其中：因公出国（境）费支出0.00万元，占0.00%，比上年增加0.00万元，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主要原因是：我单位无因公出国（境）费支出；公务用车购置及运行维护费支出0.00万元，占0.00%，比上年增加0.00万元，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主要原因是我单位无公务用车购置及运行维护费支出；公务接待费支出0.00万元，占0.00%，比上年增加0.00万元，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主要原因是：我单位无公务接待费支出。</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因公出国（境）费支出0.00万元，开支内容包括我单位无因公出国（境）费支出。单位全年安排的因公出国（境）团组0个，因公出国（境）0人次。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0.00万元，其中：公务用车购置费0.00万元，公务用车运行维护费0.00万元。公务用车运行维护费开支内容包括我单位无公务用车运行维护费。公务用车购置数0辆，公务用车保有量0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0辆，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原因是：我单位无公务用车。</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公务接待费0.00万元，开支内容包括我单位无公务接待费。单位全年安排的国内公务接待0批次，0人次。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预算数0.00万元，决算数0.00万元，预决算差异率0.00%，主要原因是：我单位无“三公”经费支出。其中：因公出国（境）费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rPr>
        <w:t>我单位无公务用车购置费</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rPr>
        <w:t>我单位无公务用车运行维护费</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rPr>
        <w:t>我单位无公务接待费</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bookmarkStart w:id="24" w:name="_Toc227"/>
      <w:bookmarkStart w:id="25" w:name="_Toc26704"/>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新疆林业测试中心（事业单位）公用经费支出7.91万元，</w:t>
      </w:r>
      <w:r>
        <w:rPr>
          <w:rFonts w:hint="eastAsia" w:ascii="Times New Roman" w:hAnsi="Times New Roman" w:eastAsia="仿宋_GB2312" w:cs="Times New Roman"/>
          <w:color w:val="auto"/>
          <w:sz w:val="32"/>
          <w:szCs w:val="32"/>
          <w:highlight w:val="none"/>
          <w:lang w:val="zh-CN" w:eastAsia="zh-CN"/>
        </w:rPr>
        <w:t>比上年增加2.63万元，增长49.80%，主要原因是：政策性因素增资使得公用经费相应增长</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0.00万元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其中：政府采购货物支出0.00万元、政府采购工程支出0.00万元、政府采购服务支出0.00万元。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授予中小企业合同金额0.00万元，占政府采购支出总额的0.00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，其中：授予小微企业合同金额0.00万元，占政府采购支出总额的0.00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455.39</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屋0.00平方米，价值0.00万元。车辆0辆，价值0.00万元，其中：副部（省）级及以上领导用车0辆、主要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用车0辆、机要通信用车0辆、应急保障用车0辆、执法执勤用车0辆、特种专业技术用车0辆、离退休干部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用车0辆、其他用车0辆，其他用车主要是：我单位无其他用车；单价100万元（含）以上设备（不含车辆）1</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eastAsia="仿宋_GB2312"/>
          <w:color w:val="auto"/>
          <w:sz w:val="32"/>
          <w:szCs w:val="32"/>
          <w:highlight w:val="none"/>
          <w:lang w:val="en-US" w:eastAsia="zh-CN"/>
        </w:rPr>
        <w:t>0</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我单位整体支出绩效自评是由自治区科技厅（部门）完成</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4</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全年预算数120.5</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全年执行数120.5</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一是按照绩效目标高效、高质量完成各项工作内容；二是能够及时发现问题并及时调整各项工作内容。发现的问题及原因：一是前期绩效目标不够细致；二是没有考虑到项目实施可能遇到的变量。下一步改进措施：一是完善预算绩效管理基础工作，做细各项绩效指标；二是继续提升预算绩效管理的深度和广度，全面考虑项目实施各项因素。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bookmarkStart w:id="48" w:name="_GoBack"/>
      <w:bookmarkEnd w:id="48"/>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0"/>
        <w:rPr>
          <w:rFonts w:hint="eastAsia" w:ascii="黑体" w:hAnsi="黑体" w:eastAsia="黑体"/>
          <w:color w:val="auto"/>
          <w:sz w:val="32"/>
          <w:szCs w:val="32"/>
          <w:highlight w:val="none"/>
        </w:rPr>
      </w:pPr>
      <w:bookmarkStart w:id="30" w:name="_Toc3250"/>
      <w:bookmarkStart w:id="31" w:name="_Toc24143"/>
      <w:r>
        <w:rPr>
          <w:rFonts w:hint="default" w:ascii="仿宋_GB2312" w:hAnsi="仿宋_GB2312" w:eastAsia="仿宋_GB2312" w:cs="仿宋_GB2312"/>
          <w:color w:val="auto"/>
          <w:kern w:val="0"/>
          <w:sz w:val="32"/>
          <w:szCs w:val="32"/>
          <w:highlight w:val="none"/>
          <w:lang w:val="en-US" w:eastAsia="zh-CN"/>
        </w:rPr>
        <w:t>2023</w:t>
      </w:r>
      <w:r>
        <w:rPr>
          <w:rFonts w:hint="eastAsia" w:ascii="仿宋_GB2312" w:hAnsi="仿宋_GB2312" w:eastAsia="仿宋_GB2312" w:cs="仿宋_GB2312"/>
          <w:color w:val="auto"/>
          <w:kern w:val="0"/>
          <w:sz w:val="32"/>
          <w:szCs w:val="32"/>
          <w:highlight w:val="none"/>
          <w:lang w:val="en-US" w:eastAsia="zh-CN"/>
        </w:rPr>
        <w:t>年度本单位政府采购支出总额为</w:t>
      </w:r>
      <w:r>
        <w:rPr>
          <w:rFonts w:hint="default" w:ascii="仿宋_GB2312" w:hAnsi="仿宋_GB2312" w:eastAsia="仿宋_GB2312" w:cs="仿宋_GB2312"/>
          <w:color w:val="auto"/>
          <w:kern w:val="0"/>
          <w:sz w:val="32"/>
          <w:szCs w:val="32"/>
          <w:highlight w:val="none"/>
          <w:lang w:val="en-US" w:eastAsia="zh-CN"/>
        </w:rPr>
        <w:t>0.00</w:t>
      </w:r>
      <w:r>
        <w:rPr>
          <w:rFonts w:hint="eastAsia" w:ascii="仿宋_GB2312" w:hAnsi="仿宋_GB2312" w:eastAsia="仿宋_GB2312" w:cs="仿宋_GB2312"/>
          <w:color w:val="auto"/>
          <w:kern w:val="0"/>
          <w:sz w:val="32"/>
          <w:szCs w:val="32"/>
          <w:highlight w:val="none"/>
          <w:lang w:val="en-US" w:eastAsia="zh-CN"/>
        </w:rPr>
        <w:t>万元，授予中小企业合同金额、授予小微企业合同金额</w:t>
      </w:r>
      <w:r>
        <w:rPr>
          <w:rFonts w:hint="default" w:ascii="仿宋_GB2312" w:hAnsi="仿宋_GB2312" w:eastAsia="仿宋_GB2312" w:cs="仿宋_GB2312"/>
          <w:color w:val="auto"/>
          <w:kern w:val="0"/>
          <w:sz w:val="32"/>
          <w:szCs w:val="32"/>
          <w:highlight w:val="none"/>
          <w:lang w:val="en-US" w:eastAsia="zh-CN"/>
        </w:rPr>
        <w:t>0.00</w:t>
      </w:r>
      <w:r>
        <w:rPr>
          <w:rFonts w:hint="eastAsia" w:ascii="仿宋_GB2312" w:hAnsi="仿宋_GB2312" w:eastAsia="仿宋_GB2312" w:cs="仿宋_GB2312"/>
          <w:color w:val="auto"/>
          <w:kern w:val="0"/>
          <w:sz w:val="32"/>
          <w:szCs w:val="32"/>
          <w:highlight w:val="none"/>
          <w:lang w:val="en-US" w:eastAsia="zh-CN"/>
        </w:rPr>
        <w:t>万元。</w:t>
      </w:r>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NkZGExNTNlMDAxZmZhMzRkMDYzZjk2ODQ0MzM3OTQifQ=="/>
    <w:docVar w:name="KSO_WPS_MARK_KEY" w:val="41ee2a61-2d54-4f93-83be-afdb9a40d732"/>
  </w:docVars>
  <w:rsids>
    <w:rsidRoot w:val="00000000"/>
    <w:rsid w:val="00213C59"/>
    <w:rsid w:val="003210CE"/>
    <w:rsid w:val="00B70D59"/>
    <w:rsid w:val="00F52A8D"/>
    <w:rsid w:val="019404F8"/>
    <w:rsid w:val="02BD3108"/>
    <w:rsid w:val="02F73D26"/>
    <w:rsid w:val="034D4FEF"/>
    <w:rsid w:val="035D1785"/>
    <w:rsid w:val="039F47CE"/>
    <w:rsid w:val="03E05CE8"/>
    <w:rsid w:val="03F973EE"/>
    <w:rsid w:val="043E5B56"/>
    <w:rsid w:val="04C04386"/>
    <w:rsid w:val="04D96608"/>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AD643E"/>
    <w:rsid w:val="0BB052B2"/>
    <w:rsid w:val="0BBE064F"/>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A73E3"/>
    <w:rsid w:val="127F665A"/>
    <w:rsid w:val="12F7068C"/>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8A7512"/>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9617B3"/>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5F27AE"/>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2B0ABA"/>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3307A"/>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4544</Words>
  <Characters>5064</Characters>
  <Lines>0</Lines>
  <Paragraphs>0</Paragraphs>
  <TotalTime>0</TotalTime>
  <ScaleCrop>false</ScaleCrop>
  <LinksUpToDate>false</LinksUpToDate>
  <CharactersWithSpaces>5075</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2024-08-22T08:20:00Z</cp:lastPrinted>
  <dcterms:modified xsi:type="dcterms:W3CDTF">2024-10-30T03:15:13Z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D624B15633CD43C8BF9435464A96BF70</vt:lpwstr>
  </property>
</Properties>
</file>