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新疆林科院经济林研究所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left="319" w:leftChars="152" w:firstLine="320" w:firstLineChars="1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新疆林科院</w:t>
      </w:r>
      <w:r>
        <w:rPr>
          <w:rFonts w:hint="eastAsia" w:ascii="仿宋_GB2312" w:eastAsia="仿宋_GB2312"/>
          <w:color w:val="auto"/>
          <w:sz w:val="32"/>
          <w:szCs w:val="32"/>
          <w:highlight w:val="none"/>
        </w:rPr>
        <w:t>经济林所主要研究为适合新疆栽培发展的名、特、优经济林树种的良种选育、繁殖及丰产栽培技术的研究；经济林果品的保鲜储藏、加工利用技术研究；承担经济林建设工程的规划、设计及技术指导；为新疆林果业发展提供科技支撑和科技服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新疆林科院经济林研究所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30</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4</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6</w:t>
      </w:r>
      <w:r>
        <w:rPr>
          <w:rFonts w:hint="eastAsia" w:ascii="仿宋_GB2312" w:hAnsi="黑体" w:eastAsia="仿宋_GB2312" w:cs="宋体"/>
          <w:bCs/>
          <w:color w:val="auto"/>
          <w:kern w:val="0"/>
          <w:sz w:val="32"/>
          <w:szCs w:val="32"/>
          <w:highlight w:val="none"/>
        </w:rPr>
        <w:t>个处室，分别是：</w:t>
      </w:r>
      <w:r>
        <w:rPr>
          <w:rFonts w:hint="eastAsia" w:ascii="仿宋_GB2312" w:hAnsi="黑体" w:eastAsia="仿宋_GB2312" w:cs="宋体"/>
          <w:bCs/>
          <w:kern w:val="0"/>
          <w:sz w:val="32"/>
          <w:szCs w:val="32"/>
        </w:rPr>
        <w:t>综合业务室、红枣与榛子研究室、核桃研究室、巴旦木与枸杞研究室、林果资源利用研究室、林果技术研究室</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1,832.86万元，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1,479.25万元，使用非财政拨款结余0.00万元，年初结转和结余353.61万元。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1,832.86万元，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1,564.00万元，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0.00万元，年末结转和结余268.87万元。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增加466.83万元</w:t>
      </w:r>
      <w:r>
        <w:rPr>
          <w:rFonts w:hint="eastAsia" w:ascii="仿宋_GB2312" w:eastAsia="仿宋_GB2312"/>
          <w:color w:val="auto"/>
          <w:spacing w:val="0"/>
          <w:sz w:val="32"/>
          <w:szCs w:val="32"/>
          <w:highlight w:val="none"/>
          <w:lang w:eastAsia="zh-CN"/>
        </w:rPr>
        <w:t>，增长34.17%，主要原因是：因本年度政策性原因人员经费增长，收入支出增加。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1,479.25</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1,288.99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87.14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189.45</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12.81</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0.81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本年支出1,564.00万元，其中：基本支出600.91万元，占38.42%；项目支出963.09万元，占61.58%；上缴上级支出0.00万元，占0.00%；经营支出0.00万元，占0.00%；对附属单位补助支出0.00万元，占0.00%。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1,290.17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1.18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1,288.99</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1,290.17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17.69</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1,272.48</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增加358.46万元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增长38.47%,</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因政策性增资，财政拨款收入较上年增加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847.63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1,290.17</w:t>
      </w:r>
      <w:r>
        <w:rPr>
          <w:rFonts w:hint="eastAsia" w:ascii="仿宋_GB2312" w:eastAsia="仿宋_GB2312"/>
          <w:color w:val="auto"/>
          <w:spacing w:val="0"/>
          <w:sz w:val="32"/>
          <w:szCs w:val="32"/>
          <w:highlight w:val="none"/>
          <w:lang w:eastAsia="zh-CN"/>
        </w:rPr>
        <w:t>万元，预决算差异率52.21%，主要原因是：因本年追加财政拨款项目，导致财政拨款收入支出决算数较年初预算增加。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2023年度一般公共预算财政拨款支出1,272.48万元，占本年支出合计的</w:t>
      </w:r>
      <w:r>
        <w:rPr>
          <w:rFonts w:hint="eastAsia" w:ascii="仿宋_GB2312" w:eastAsia="仿宋_GB2312"/>
          <w:color w:val="auto"/>
          <w:spacing w:val="0"/>
          <w:sz w:val="32"/>
          <w:szCs w:val="32"/>
          <w:highlight w:val="none"/>
          <w:lang w:val="zh-CN" w:eastAsia="zh-CN"/>
        </w:rPr>
        <w:t>81.36%</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增加341.95万元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增长36.75%,</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政策性因素增资使得预算调整增加人员经费收入和项目收入</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847.63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1,272.48</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50.12%</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政策性因素增资使得预算调整增加人员经费支出和项目支出</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943.68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74.16</w:t>
      </w:r>
      <w:r>
        <w:rPr>
          <w:rFonts w:hint="default" w:ascii="仿宋_GB2312" w:hAnsi="Times New Roman" w:eastAsia="仿宋_GB2312" w:cs="Times New Roman"/>
          <w:color w:val="auto"/>
          <w:spacing w:val="0"/>
          <w:kern w:val="2"/>
          <w:sz w:val="32"/>
          <w:szCs w:val="32"/>
          <w:highlight w:val="none"/>
          <w:lang w:val="en-US"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328.80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25.84</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1.科学技术支出（类）科技条件与服务（款）其他科技条件与服务支出（项）:支出决算数为13.28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4.7</w:t>
      </w:r>
      <w:r>
        <w:rPr>
          <w:rFonts w:hint="default" w:eastAsia="仿宋_GB2312" w:cs="Times New Roman"/>
          <w:color w:val="auto"/>
          <w:kern w:val="2"/>
          <w:sz w:val="32"/>
          <w:szCs w:val="32"/>
          <w:highlight w:val="none"/>
          <w:lang w:val="en-US" w:eastAsia="zh-CN" w:bidi="ar-SA"/>
        </w:rPr>
        <w:t>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26</w:t>
      </w:r>
      <w:r>
        <w:rPr>
          <w:rFonts w:hint="default" w:eastAsia="仿宋_GB2312" w:cs="Times New Roman"/>
          <w:color w:val="auto"/>
          <w:kern w:val="2"/>
          <w:sz w:val="32"/>
          <w:szCs w:val="32"/>
          <w:highlight w:val="none"/>
          <w:lang w:val="en-US" w:eastAsia="zh-CN" w:bidi="ar-SA"/>
        </w:rPr>
        <w:t>.18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本年度</w:t>
      </w:r>
      <w:r>
        <w:rPr>
          <w:rFonts w:hint="eastAsia" w:ascii="Times New Roman" w:hAnsi="Times New Roman" w:eastAsia="仿宋_GB2312" w:cs="Times New Roman"/>
          <w:color w:val="auto"/>
          <w:kern w:val="2"/>
          <w:sz w:val="32"/>
          <w:szCs w:val="32"/>
          <w:highlight w:val="none"/>
          <w:lang w:val="en-US" w:eastAsia="zh-CN" w:bidi="ar-SA"/>
        </w:rPr>
        <w:t>其他科技条件与服务</w:t>
      </w:r>
      <w:r>
        <w:rPr>
          <w:rFonts w:hint="eastAsia" w:eastAsia="仿宋_GB2312" w:cs="Times New Roman"/>
          <w:color w:val="auto"/>
          <w:kern w:val="2"/>
          <w:sz w:val="32"/>
          <w:szCs w:val="32"/>
          <w:highlight w:val="none"/>
          <w:lang w:val="en-US" w:eastAsia="zh-CN" w:bidi="ar-SA"/>
        </w:rPr>
        <w:t>项目减少，相应</w:t>
      </w:r>
      <w:r>
        <w:rPr>
          <w:rFonts w:hint="eastAsia" w:ascii="Times New Roman" w:hAnsi="Times New Roman" w:eastAsia="仿宋_GB2312" w:cs="Times New Roman"/>
          <w:color w:val="auto"/>
          <w:kern w:val="2"/>
          <w:sz w:val="32"/>
          <w:szCs w:val="32"/>
          <w:highlight w:val="none"/>
          <w:lang w:val="en-US" w:eastAsia="zh-CN" w:bidi="ar-SA"/>
        </w:rPr>
        <w:t>支出</w:t>
      </w:r>
      <w:r>
        <w:rPr>
          <w:rFonts w:hint="eastAsia" w:eastAsia="仿宋_GB2312" w:cs="Times New Roman"/>
          <w:color w:val="auto"/>
          <w:kern w:val="2"/>
          <w:sz w:val="32"/>
          <w:szCs w:val="32"/>
          <w:highlight w:val="none"/>
          <w:lang w:val="en-US" w:eastAsia="zh-CN" w:bidi="ar-SA"/>
        </w:rPr>
        <w:t>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2.科学技术支出（类）应用研究（款）机构运行（项）:支出决算数为600.10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21.18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3.66%，主要原因是：</w:t>
      </w:r>
      <w:r>
        <w:rPr>
          <w:rFonts w:hint="eastAsia" w:eastAsia="仿宋_GB2312" w:cs="Times New Roman"/>
          <w:color w:val="auto"/>
          <w:kern w:val="2"/>
          <w:sz w:val="32"/>
          <w:szCs w:val="32"/>
          <w:highlight w:val="none"/>
          <w:lang w:val="en-US" w:eastAsia="zh-CN" w:bidi="ar-SA"/>
        </w:rPr>
        <w:t>因政策性原因，人员经费增加导致支出增加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3.农林水支出（类）林业和草原（款）技术推广与转化（项）:支出决算数为218.80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139.81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176.99%，主要原因是：</w:t>
      </w:r>
      <w:r>
        <w:rPr>
          <w:rFonts w:hint="eastAsia" w:eastAsia="仿宋_GB2312" w:cs="Times New Roman"/>
          <w:color w:val="auto"/>
          <w:kern w:val="2"/>
          <w:sz w:val="32"/>
          <w:szCs w:val="32"/>
          <w:highlight w:val="none"/>
          <w:lang w:val="en-US" w:eastAsia="zh-CN" w:bidi="ar-SA"/>
        </w:rPr>
        <w:t>本年度</w:t>
      </w:r>
      <w:r>
        <w:rPr>
          <w:rFonts w:hint="eastAsia" w:ascii="Times New Roman" w:hAnsi="Times New Roman" w:eastAsia="仿宋_GB2312" w:cs="Times New Roman"/>
          <w:color w:val="auto"/>
          <w:kern w:val="2"/>
          <w:sz w:val="32"/>
          <w:szCs w:val="32"/>
          <w:highlight w:val="none"/>
          <w:lang w:val="en-US" w:eastAsia="zh-CN" w:bidi="ar-SA"/>
        </w:rPr>
        <w:t>技术推广与转化</w:t>
      </w:r>
      <w:r>
        <w:rPr>
          <w:rFonts w:hint="eastAsia" w:eastAsia="仿宋_GB2312" w:cs="Times New Roman"/>
          <w:color w:val="auto"/>
          <w:kern w:val="2"/>
          <w:sz w:val="32"/>
          <w:szCs w:val="32"/>
          <w:highlight w:val="none"/>
          <w:lang w:val="en-US" w:eastAsia="zh-CN" w:bidi="ar-SA"/>
        </w:rPr>
        <w:t>项目增加，因此项目支出增加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4.农林水支出（类）林业和草原（款）其他林业和草原支出（项）:支出决算数为110.00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29.64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21.23%，主要原因是：</w:t>
      </w:r>
      <w:r>
        <w:rPr>
          <w:rFonts w:hint="eastAsia" w:eastAsia="仿宋_GB2312" w:cs="Times New Roman"/>
          <w:color w:val="auto"/>
          <w:kern w:val="2"/>
          <w:sz w:val="32"/>
          <w:szCs w:val="32"/>
          <w:highlight w:val="none"/>
          <w:lang w:val="en-US" w:eastAsia="zh-CN" w:bidi="ar-SA"/>
        </w:rPr>
        <w:t>本年度</w:t>
      </w:r>
      <w:r>
        <w:rPr>
          <w:rFonts w:hint="eastAsia" w:ascii="Times New Roman" w:hAnsi="Times New Roman" w:eastAsia="仿宋_GB2312" w:cs="Times New Roman"/>
          <w:color w:val="auto"/>
          <w:kern w:val="2"/>
          <w:sz w:val="32"/>
          <w:szCs w:val="32"/>
          <w:highlight w:val="none"/>
          <w:lang w:val="en-US" w:eastAsia="zh-CN" w:bidi="ar-SA"/>
        </w:rPr>
        <w:t>其他林业和草原支出</w:t>
      </w:r>
      <w:r>
        <w:rPr>
          <w:rFonts w:hint="eastAsia" w:eastAsia="仿宋_GB2312" w:cs="Times New Roman"/>
          <w:color w:val="auto"/>
          <w:kern w:val="2"/>
          <w:sz w:val="32"/>
          <w:szCs w:val="32"/>
          <w:highlight w:val="none"/>
          <w:lang w:val="en-US" w:eastAsia="zh-CN" w:bidi="ar-SA"/>
        </w:rPr>
        <w:t>项目减少，导致项目支出减少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5.科学技术支出（类）基础研究（款）科技人才队伍建设（项）:支出决算数为330.31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330.31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本年度</w:t>
      </w:r>
      <w:r>
        <w:rPr>
          <w:rFonts w:hint="eastAsia" w:ascii="Times New Roman" w:hAnsi="Times New Roman" w:eastAsia="仿宋_GB2312" w:cs="Times New Roman"/>
          <w:color w:val="auto"/>
          <w:kern w:val="2"/>
          <w:sz w:val="32"/>
          <w:szCs w:val="32"/>
          <w:highlight w:val="none"/>
          <w:lang w:val="en-US" w:eastAsia="zh-CN" w:bidi="ar-SA"/>
        </w:rPr>
        <w:t>科技人才队伍建设</w:t>
      </w:r>
      <w:r>
        <w:rPr>
          <w:rFonts w:hint="eastAsia" w:eastAsia="仿宋_GB2312" w:cs="Times New Roman"/>
          <w:color w:val="auto"/>
          <w:kern w:val="2"/>
          <w:sz w:val="32"/>
          <w:szCs w:val="32"/>
          <w:highlight w:val="none"/>
          <w:lang w:val="en-US" w:eastAsia="zh-CN" w:bidi="ar-SA"/>
        </w:rPr>
        <w:t>项目增加，导致项目支出增加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6.科学技术支出（类）社会科学（款）社会科学研究（项）:支出决算数为0.00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本年度无</w:t>
      </w:r>
      <w:r>
        <w:rPr>
          <w:rFonts w:hint="eastAsia" w:ascii="Times New Roman" w:hAnsi="Times New Roman" w:eastAsia="仿宋_GB2312" w:cs="Times New Roman"/>
          <w:color w:val="auto"/>
          <w:kern w:val="2"/>
          <w:sz w:val="32"/>
          <w:szCs w:val="32"/>
          <w:highlight w:val="none"/>
          <w:lang w:val="en-US" w:eastAsia="zh-CN" w:bidi="ar-SA"/>
        </w:rPr>
        <w:t>社会科学研究</w:t>
      </w:r>
      <w:r>
        <w:rPr>
          <w:rFonts w:hint="eastAsia" w:eastAsia="仿宋_GB2312" w:cs="Times New Roman"/>
          <w:color w:val="auto"/>
          <w:kern w:val="2"/>
          <w:sz w:val="32"/>
          <w:szCs w:val="32"/>
          <w:highlight w:val="none"/>
          <w:lang w:val="en-US" w:eastAsia="zh-CN" w:bidi="ar-SA"/>
        </w:rPr>
        <w:t>项目，导致项目支出较上年减少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7.社会保障和就业支出（类）人力资源和社会保障管理事务（款）其他人力资源和社会保障管理事务支出（项）:支出决算数为0.00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本年度无</w:t>
      </w:r>
      <w:r>
        <w:rPr>
          <w:rFonts w:hint="eastAsia" w:ascii="Times New Roman" w:hAnsi="Times New Roman" w:eastAsia="仿宋_GB2312" w:cs="Times New Roman"/>
          <w:color w:val="auto"/>
          <w:kern w:val="2"/>
          <w:sz w:val="32"/>
          <w:szCs w:val="32"/>
          <w:highlight w:val="none"/>
          <w:lang w:val="en-US" w:eastAsia="zh-CN" w:bidi="ar-SA"/>
        </w:rPr>
        <w:t>其他人力资源和社会保障管理事务</w:t>
      </w:r>
      <w:r>
        <w:rPr>
          <w:rFonts w:hint="eastAsia" w:eastAsia="仿宋_GB2312" w:cs="Times New Roman"/>
          <w:color w:val="auto"/>
          <w:kern w:val="2"/>
          <w:sz w:val="32"/>
          <w:szCs w:val="32"/>
          <w:highlight w:val="none"/>
          <w:lang w:val="en-US" w:eastAsia="zh-CN" w:bidi="ar-SA"/>
        </w:rPr>
        <w:t>项目，因此项目支出较上年减少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8.科学技术支出（类）其他科学技术支出（款）其他科学技术支出（项）:支出决算数为0.00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90.00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本年度无</w:t>
      </w:r>
      <w:r>
        <w:rPr>
          <w:rFonts w:hint="eastAsia" w:ascii="Times New Roman" w:hAnsi="Times New Roman" w:eastAsia="仿宋_GB2312" w:cs="Times New Roman"/>
          <w:color w:val="auto"/>
          <w:kern w:val="2"/>
          <w:sz w:val="32"/>
          <w:szCs w:val="32"/>
          <w:highlight w:val="none"/>
          <w:lang w:val="en-US" w:eastAsia="zh-CN" w:bidi="ar-SA"/>
        </w:rPr>
        <w:t>其他科学技术</w:t>
      </w:r>
      <w:r>
        <w:rPr>
          <w:rFonts w:hint="eastAsia" w:eastAsia="仿宋_GB2312" w:cs="Times New Roman"/>
          <w:color w:val="auto"/>
          <w:kern w:val="2"/>
          <w:sz w:val="32"/>
          <w:szCs w:val="32"/>
          <w:highlight w:val="none"/>
          <w:lang w:val="en-US" w:eastAsia="zh-CN" w:bidi="ar-SA"/>
        </w:rPr>
        <w:t>项目，因此项目</w:t>
      </w:r>
      <w:r>
        <w:rPr>
          <w:rFonts w:hint="eastAsia" w:ascii="Times New Roman" w:hAnsi="Times New Roman" w:eastAsia="仿宋_GB2312" w:cs="Times New Roman"/>
          <w:color w:val="auto"/>
          <w:kern w:val="2"/>
          <w:sz w:val="32"/>
          <w:szCs w:val="32"/>
          <w:highlight w:val="none"/>
          <w:lang w:val="en-US" w:eastAsia="zh-CN" w:bidi="ar-SA"/>
        </w:rPr>
        <w:t>支出</w:t>
      </w:r>
      <w:r>
        <w:rPr>
          <w:rFonts w:hint="eastAsia" w:eastAsia="仿宋_GB2312" w:cs="Times New Roman"/>
          <w:color w:val="auto"/>
          <w:kern w:val="2"/>
          <w:sz w:val="32"/>
          <w:szCs w:val="32"/>
          <w:highlight w:val="none"/>
          <w:lang w:val="en-US" w:eastAsia="zh-CN" w:bidi="ar-SA"/>
        </w:rPr>
        <w:t>较上年减少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600.10</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558.64</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基本工资、津贴补贴、奖金、绩效工资、机关事业单位基本养老保险缴费、职业年金缴费、职工基本医疗保险缴费、公务员医疗补助缴费、其他社会保障缴费、住房公积金、退休费、生活补助。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宋体" w:eastAsia="仿宋_GB2312" w:cs="宋体"/>
          <w:color w:val="auto"/>
          <w:kern w:val="0"/>
          <w:sz w:val="32"/>
          <w:szCs w:val="32"/>
          <w:highlight w:val="none"/>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41.45</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办公费、咨询费、手续费、水费、电费、邮电费、取暖费、差旅费、维修（护）费、培训费、专用材料费、劳务费、委托业务费、工会经费、福利费、税金及附加费用、其他商品和服务支出</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主要原因是：我单位本年度未发生“三公”经费支出。其中：因公出国（境）费支出0.00万元，占0.00%，比上年增加0.00万元，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主要原因是：我单位本年度未发生因公出国（境）费支出；公务用车购置及运行维护费支出0.00万元，占0.00%，比上年增加0.00万元，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主要原因是：我单位无车辆，本年度未发生公务用车购置及运行维护费支出；公务接待费支出0.00万元，占0.00%，比上年增加0.00万元，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主要原因是：我单位本年度未发生公务接待费支出。</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因公出国（境）费支出0.00万元，开支内容包括无此项开支。单位全年安排的因公出国（境）团组0个，因公出国（境）0人次。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公务用车购置及运行维护费0.00万元，其中：公务用车购置费0.00万元，公务用车运行维护费0.00万元。公务用车运行维护费开支内容包括无此项开支。公务用车购置数0辆，公务用车保有量0辆。国有资产占用情况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1辆划归至新疆林业科学院统一管理使用列支经费。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公务接待费0.00万元，开支内容包括无此项开支。单位全年安排的国内公务接待0批次，0人次。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预算数0.00万元，决算数0.00万元，预决算差异率0.00%，主要原因是：我单位严格执行“三公”经费标准，无相关支出。其中：因公出国（境）费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0.00万元，决算数0.00万元，预决算差异率0.00%，主要原因是：我单位严格执行因公出国（境）费标准，无相关支出；公务用车购置费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预算数0.00万元，决算数0.00万元，预决算差异率0.00%，主要原因是：我单位严格执行公务用车运行费，因我单位无车辆，所以无相关支出；公务接待费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预算数0.00万元，决算数0.00万元，预决算差异率0.00%，主要原因是：我单位严格执行公务接待费，无相关支出。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新疆林科院经济林研究所（事业单位）公用经费支出41.45万元，</w:t>
      </w:r>
      <w:r>
        <w:rPr>
          <w:rFonts w:hint="eastAsia" w:ascii="Times New Roman" w:hAnsi="Times New Roman" w:eastAsia="仿宋_GB2312" w:cs="Times New Roman"/>
          <w:color w:val="auto"/>
          <w:sz w:val="32"/>
          <w:szCs w:val="32"/>
          <w:highlight w:val="none"/>
          <w:lang w:val="zh-CN" w:eastAsia="zh-CN"/>
        </w:rPr>
        <w:t>比上年增加15.33万元，增长58.68%，主要原因是：</w:t>
      </w:r>
      <w:r>
        <w:rPr>
          <w:rFonts w:hint="eastAsia" w:ascii="仿宋_GB2312" w:eastAsia="仿宋_GB2312"/>
          <w:sz w:val="32"/>
          <w:szCs w:val="32"/>
          <w:lang w:eastAsia="zh-CN"/>
        </w:rPr>
        <w:t>因人员级别上调，</w:t>
      </w:r>
      <w:r>
        <w:rPr>
          <w:rFonts w:hint="eastAsia" w:ascii="仿宋_GB2312" w:eastAsia="仿宋_GB2312"/>
          <w:sz w:val="32"/>
          <w:szCs w:val="32"/>
        </w:rPr>
        <w:t>使得</w:t>
      </w:r>
      <w:r>
        <w:rPr>
          <w:rFonts w:hint="eastAsia" w:ascii="仿宋_GB2312" w:eastAsia="仿宋_GB2312"/>
          <w:sz w:val="32"/>
          <w:szCs w:val="32"/>
          <w:lang w:eastAsia="zh-CN"/>
        </w:rPr>
        <w:t>福利费、工会经费等增加，所以</w:t>
      </w:r>
      <w:r>
        <w:rPr>
          <w:rFonts w:hint="eastAsia" w:ascii="仿宋_GB2312" w:eastAsia="仿宋_GB2312"/>
          <w:sz w:val="32"/>
          <w:szCs w:val="32"/>
        </w:rPr>
        <w:t>较上年增长</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0.20万元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其中：政府采购货物支出0.20万元、政府采购工程支出0.00万元、政府采购服务支出0.00万元。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授予中小企业合同金额0.20万元，占政府采购支出总额的100.00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，其中：授予小微企业合同金额0.20万元，占政府采购支出总额的100.00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255.80</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屋0.00平方米，价值0.00万元。车辆1辆，价值19.59万元，其中：副部（省）级及以上领导用车0辆、主要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用车0辆、其他用车1辆，其他用车主要是：</w:t>
      </w:r>
      <w:r>
        <w:rPr>
          <w:rFonts w:hint="eastAsia" w:ascii="仿宋_GB2312" w:eastAsia="仿宋_GB2312"/>
          <w:sz w:val="32"/>
          <w:szCs w:val="32"/>
        </w:rPr>
        <w:t>单位日常运行用车</w:t>
      </w:r>
      <w:r>
        <w:rPr>
          <w:rFonts w:hint="eastAsia" w:ascii="仿宋_GB2312" w:eastAsia="仿宋_GB2312"/>
          <w:sz w:val="32"/>
          <w:szCs w:val="32"/>
          <w:lang w:eastAsia="zh-CN"/>
        </w:rPr>
        <w:t>（已报废）</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Hans"/>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，我单位整体支出绩效自评是由自治区科技厅（部门）完成</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全年预算数161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全年执行数161</w:t>
      </w:r>
      <w:bookmarkStart w:id="48" w:name="_GoBack"/>
      <w:bookmarkEnd w:id="48"/>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w:t>
      </w:r>
      <w:r>
        <w:rPr>
          <w:rFonts w:ascii="仿宋_GB2312" w:eastAsia="仿宋_GB2312"/>
          <w:sz w:val="32"/>
          <w:szCs w:val="32"/>
        </w:rPr>
        <w:t>按照绩效目标高效、高质量完成各项工作内容</w:t>
      </w:r>
      <w:r>
        <w:rPr>
          <w:rFonts w:hint="eastAsia" w:ascii="仿宋_GB2312" w:eastAsia="仿宋_GB2312"/>
          <w:color w:val="auto"/>
          <w:sz w:val="32"/>
          <w:szCs w:val="32"/>
          <w:highlight w:val="none"/>
          <w:lang w:eastAsia="zh-CN"/>
        </w:rPr>
        <w:t>；二是</w:t>
      </w:r>
      <w:r>
        <w:rPr>
          <w:rFonts w:ascii="仿宋_GB2312" w:eastAsia="仿宋_GB2312"/>
          <w:sz w:val="32"/>
          <w:szCs w:val="32"/>
        </w:rPr>
        <w:t>能够及时发现问题并及时调整各项工作内容</w:t>
      </w:r>
      <w:r>
        <w:rPr>
          <w:rFonts w:hint="eastAsia" w:ascii="仿宋_GB2312" w:eastAsia="仿宋_GB2312"/>
          <w:color w:val="auto"/>
          <w:sz w:val="32"/>
          <w:szCs w:val="32"/>
          <w:highlight w:val="none"/>
          <w:lang w:eastAsia="zh-CN"/>
        </w:rPr>
        <w:t>。发现的问题及原因：一是</w:t>
      </w:r>
      <w:r>
        <w:rPr>
          <w:rFonts w:ascii="仿宋_GB2312" w:eastAsia="仿宋_GB2312"/>
          <w:sz w:val="32"/>
          <w:szCs w:val="32"/>
        </w:rPr>
        <w:t>前期绩效目标不够细致</w:t>
      </w:r>
      <w:r>
        <w:rPr>
          <w:rFonts w:hint="eastAsia" w:ascii="仿宋_GB2312" w:eastAsia="仿宋_GB2312"/>
          <w:color w:val="auto"/>
          <w:sz w:val="32"/>
          <w:szCs w:val="32"/>
          <w:highlight w:val="none"/>
          <w:lang w:eastAsia="zh-CN"/>
        </w:rPr>
        <w:t>；二是</w:t>
      </w:r>
      <w:r>
        <w:rPr>
          <w:rFonts w:ascii="仿宋_GB2312" w:eastAsia="仿宋_GB2312"/>
          <w:sz w:val="32"/>
          <w:szCs w:val="32"/>
        </w:rPr>
        <w:t>没有考虑到项目实施可能遇到变量</w:t>
      </w:r>
      <w:r>
        <w:rPr>
          <w:rFonts w:hint="eastAsia" w:ascii="仿宋_GB2312" w:eastAsia="仿宋_GB2312"/>
          <w:color w:val="auto"/>
          <w:sz w:val="32"/>
          <w:szCs w:val="32"/>
          <w:highlight w:val="none"/>
          <w:lang w:eastAsia="zh-CN"/>
        </w:rPr>
        <w:t>。下一步改进措施：一是</w:t>
      </w:r>
      <w:r>
        <w:rPr>
          <w:rFonts w:ascii="仿宋_GB2312" w:eastAsia="仿宋_GB2312"/>
          <w:sz w:val="32"/>
          <w:szCs w:val="32"/>
        </w:rPr>
        <w:t>完善预算绩效管理基础工作，做细各项绩效指标</w:t>
      </w:r>
      <w:r>
        <w:rPr>
          <w:rFonts w:hint="eastAsia" w:ascii="仿宋_GB2312" w:eastAsia="仿宋_GB2312"/>
          <w:color w:val="auto"/>
          <w:sz w:val="32"/>
          <w:szCs w:val="32"/>
          <w:highlight w:val="none"/>
          <w:lang w:eastAsia="zh-CN"/>
        </w:rPr>
        <w:t>；二是</w:t>
      </w:r>
      <w:r>
        <w:rPr>
          <w:rFonts w:ascii="仿宋_GB2312" w:eastAsia="仿宋_GB2312"/>
          <w:sz w:val="32"/>
          <w:szCs w:val="32"/>
        </w:rPr>
        <w:t>继续提升预算绩效管理的深度和广度，全面考虑项目实施各项因素</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hMDk4NGE1NTVmZTRkZTM1OGZhYzY2YmU1NTExYTM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42E3"/>
    <w:rsid w:val="043E5B56"/>
    <w:rsid w:val="04C04386"/>
    <w:rsid w:val="04D96608"/>
    <w:rsid w:val="04FA68C4"/>
    <w:rsid w:val="053F5AE6"/>
    <w:rsid w:val="057C0B0F"/>
    <w:rsid w:val="05EF4B48"/>
    <w:rsid w:val="05F76ECA"/>
    <w:rsid w:val="06792773"/>
    <w:rsid w:val="07093795"/>
    <w:rsid w:val="075A37F6"/>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EBD108E"/>
    <w:rsid w:val="0F1113DA"/>
    <w:rsid w:val="0F78534A"/>
    <w:rsid w:val="0F89358A"/>
    <w:rsid w:val="0F8C6D51"/>
    <w:rsid w:val="105B0B5E"/>
    <w:rsid w:val="112E58D0"/>
    <w:rsid w:val="11731CAC"/>
    <w:rsid w:val="119500A0"/>
    <w:rsid w:val="11C0733B"/>
    <w:rsid w:val="11D50D17"/>
    <w:rsid w:val="120E0809"/>
    <w:rsid w:val="127F665A"/>
    <w:rsid w:val="12F7068C"/>
    <w:rsid w:val="14207DC0"/>
    <w:rsid w:val="148127F4"/>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7F0583"/>
    <w:rsid w:val="1AD807E5"/>
    <w:rsid w:val="1B39345B"/>
    <w:rsid w:val="1BFB2A1F"/>
    <w:rsid w:val="1C015D4A"/>
    <w:rsid w:val="1C290ED5"/>
    <w:rsid w:val="1C317E4F"/>
    <w:rsid w:val="1C472464"/>
    <w:rsid w:val="1D174328"/>
    <w:rsid w:val="1D22799A"/>
    <w:rsid w:val="1D5C1A72"/>
    <w:rsid w:val="1DAF458D"/>
    <w:rsid w:val="1DC25E9A"/>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96052E"/>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E94D1C"/>
    <w:rsid w:val="2FFE4BB0"/>
    <w:rsid w:val="300E7B60"/>
    <w:rsid w:val="300F6E18"/>
    <w:rsid w:val="30862F5F"/>
    <w:rsid w:val="314029C9"/>
    <w:rsid w:val="31C63837"/>
    <w:rsid w:val="31C82E39"/>
    <w:rsid w:val="31F745EA"/>
    <w:rsid w:val="32601BAD"/>
    <w:rsid w:val="329F6389"/>
    <w:rsid w:val="3389023A"/>
    <w:rsid w:val="33CB74FA"/>
    <w:rsid w:val="340C0B39"/>
    <w:rsid w:val="343642F2"/>
    <w:rsid w:val="343F3010"/>
    <w:rsid w:val="345D0A00"/>
    <w:rsid w:val="34713BFD"/>
    <w:rsid w:val="34C13589"/>
    <w:rsid w:val="353369E3"/>
    <w:rsid w:val="35E00D72"/>
    <w:rsid w:val="36965B9D"/>
    <w:rsid w:val="36C549FD"/>
    <w:rsid w:val="37A755DD"/>
    <w:rsid w:val="37F94FA0"/>
    <w:rsid w:val="380D3381"/>
    <w:rsid w:val="38115B1F"/>
    <w:rsid w:val="38371ECB"/>
    <w:rsid w:val="385E3AC3"/>
    <w:rsid w:val="387D6B9E"/>
    <w:rsid w:val="38B75FF0"/>
    <w:rsid w:val="38D45016"/>
    <w:rsid w:val="38D90432"/>
    <w:rsid w:val="38EC68E7"/>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473146"/>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737835"/>
    <w:rsid w:val="47D90D14"/>
    <w:rsid w:val="48387FB0"/>
    <w:rsid w:val="483A6114"/>
    <w:rsid w:val="488727DB"/>
    <w:rsid w:val="48B82268"/>
    <w:rsid w:val="48C354B3"/>
    <w:rsid w:val="49150889"/>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3B602B"/>
    <w:rsid w:val="4F663C87"/>
    <w:rsid w:val="4F7E29A8"/>
    <w:rsid w:val="4F9E1FFC"/>
    <w:rsid w:val="50447CC2"/>
    <w:rsid w:val="50874A7C"/>
    <w:rsid w:val="50895EE7"/>
    <w:rsid w:val="50921B9D"/>
    <w:rsid w:val="50D16158"/>
    <w:rsid w:val="50DB5F45"/>
    <w:rsid w:val="51025EB1"/>
    <w:rsid w:val="5104346D"/>
    <w:rsid w:val="51141503"/>
    <w:rsid w:val="518D0ED5"/>
    <w:rsid w:val="51D91BB7"/>
    <w:rsid w:val="525C687F"/>
    <w:rsid w:val="52B50F8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593E0C"/>
    <w:rsid w:val="57780CFE"/>
    <w:rsid w:val="577B4878"/>
    <w:rsid w:val="57926973"/>
    <w:rsid w:val="57E04842"/>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5C5807"/>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DE437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B34FDB"/>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04CD0"/>
    <w:rsid w:val="75DB5477"/>
    <w:rsid w:val="75FC6AC3"/>
    <w:rsid w:val="7616619B"/>
    <w:rsid w:val="76660D7C"/>
    <w:rsid w:val="766C5968"/>
    <w:rsid w:val="76BE0C8F"/>
    <w:rsid w:val="76CD53B2"/>
    <w:rsid w:val="76E03956"/>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F4617E"/>
    <w:rsid w:val="7C7248A0"/>
    <w:rsid w:val="7C976D69"/>
    <w:rsid w:val="7CD752DA"/>
    <w:rsid w:val="7CDE40AB"/>
    <w:rsid w:val="7CF057E2"/>
    <w:rsid w:val="7D1548B5"/>
    <w:rsid w:val="7DF84014"/>
    <w:rsid w:val="7E207949"/>
    <w:rsid w:val="7E5C0A47"/>
    <w:rsid w:val="7E670C75"/>
    <w:rsid w:val="7EDA1D7F"/>
    <w:rsid w:val="7EE24272"/>
    <w:rsid w:val="7EEA6053"/>
    <w:rsid w:val="7F487C04"/>
    <w:rsid w:val="7F69616F"/>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5895</Words>
  <Characters>6817</Characters>
  <Lines>0</Lines>
  <Paragraphs>0</Paragraphs>
  <TotalTime>0</TotalTime>
  <ScaleCrop>false</ScaleCrop>
  <LinksUpToDate>false</LinksUpToDate>
  <CharactersWithSpaces>6830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2024-10-14T10:20:12Z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