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新疆林科院造林治沙研究所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 xml:space="preserve"> 2023年度部门决算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bookmarkStart w:id="4" w:name="_Toc31238"/>
      <w:bookmarkStart w:id="5" w:name="_Toc2151"/>
      <w:r>
        <w:rPr>
          <w:rFonts w:hint="eastAsia" w:ascii="仿宋_GB2312" w:eastAsia="仿宋_GB2312"/>
          <w:color w:val="auto"/>
          <w:sz w:val="32"/>
          <w:szCs w:val="32"/>
          <w:highlight w:val="none"/>
        </w:rPr>
        <w:t>承担新疆生态树种的良种选育、引种驯化及其栽培管理技术研究；开展新疆防沙治沙、荒漠化治理、用材林、农田防护林、节水林业等各类林业工程的造林技术研究与集成；进行荒漠物种资源开发利用的沙区产业技术研究；为生态林业工程建设提供科技咨询和科技服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新疆林科院造林治沙研究所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29</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22</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7</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单位无下属预算单位，下设5个处室，分别是：造林技术研究室、沙产业研究室、治沙技术研究室、荒漠林研究室、生态工程研究室。</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2,042.55万元，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1,490.27万元，使用非财政拨款结余0.00万元，年初结转和结余552.28万元。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2,042.55万元，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1,667.06万元，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0.00万元，年末结转和结余375.49万元。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减少229.93万元</w:t>
      </w:r>
      <w:r>
        <w:rPr>
          <w:rFonts w:hint="eastAsia" w:ascii="仿宋_GB2312" w:eastAsia="仿宋_GB2312"/>
          <w:color w:val="auto"/>
          <w:spacing w:val="0"/>
          <w:sz w:val="32"/>
          <w:szCs w:val="32"/>
          <w:highlight w:val="none"/>
          <w:lang w:eastAsia="zh-CN"/>
        </w:rPr>
        <w:t>，下降10.12%，主要原因是：</w:t>
      </w:r>
      <w:r>
        <w:rPr>
          <w:rFonts w:hint="eastAsia" w:ascii="仿宋_GB2312" w:eastAsia="仿宋_GB2312"/>
          <w:sz w:val="32"/>
          <w:szCs w:val="32"/>
        </w:rPr>
        <w:t>项目数量</w:t>
      </w:r>
      <w:r>
        <w:rPr>
          <w:rFonts w:hint="eastAsia" w:ascii="仿宋_GB2312" w:eastAsia="仿宋_GB2312"/>
          <w:sz w:val="32"/>
          <w:szCs w:val="32"/>
          <w:lang w:val="en-US" w:eastAsia="zh-CN"/>
        </w:rPr>
        <w:t>减少</w:t>
      </w:r>
      <w:r>
        <w:rPr>
          <w:rFonts w:hint="eastAsia" w:ascii="仿宋_GB2312" w:eastAsia="仿宋_GB2312"/>
          <w:sz w:val="32"/>
          <w:szCs w:val="32"/>
        </w:rPr>
        <w:t>，相应项目经费支出较上年</w:t>
      </w:r>
      <w:r>
        <w:rPr>
          <w:rFonts w:hint="eastAsia" w:ascii="仿宋_GB2312" w:eastAsia="仿宋_GB2312"/>
          <w:sz w:val="32"/>
          <w:szCs w:val="32"/>
          <w:lang w:val="en-US" w:eastAsia="zh-CN"/>
        </w:rPr>
        <w:t>减少</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1,490.27</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958.27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64.30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530.21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35.58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1.79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0.12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本年支出1,667.06万元，其中：基本支出643.00万元，占38.57%；项目支出1,024.07万元，占61.43%；上缴上级支出0.00万元，占0.00%；经营支出0.00万元，占0.00%；对附属单位补助支出0.00万元，占0.00%。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958.45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0.19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958.27</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958.45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1.68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956.78</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减少152.16万元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下降13.70%,</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项目数量</w:t>
      </w:r>
      <w:r>
        <w:rPr>
          <w:rFonts w:hint="eastAsia" w:ascii="仿宋_GB2312" w:eastAsia="仿宋_GB2312"/>
          <w:sz w:val="32"/>
          <w:szCs w:val="32"/>
          <w:lang w:val="en-US" w:eastAsia="zh-CN"/>
        </w:rPr>
        <w:t>减少</w:t>
      </w:r>
      <w:r>
        <w:rPr>
          <w:rFonts w:hint="eastAsia" w:ascii="仿宋_GB2312" w:eastAsia="仿宋_GB2312"/>
          <w:sz w:val="32"/>
          <w:szCs w:val="32"/>
        </w:rPr>
        <w:t>，相应项目经费支出较上年</w:t>
      </w:r>
      <w:r>
        <w:rPr>
          <w:rFonts w:hint="eastAsia" w:ascii="仿宋_GB2312" w:eastAsia="仿宋_GB2312"/>
          <w:sz w:val="32"/>
          <w:szCs w:val="32"/>
          <w:lang w:val="en-US" w:eastAsia="zh-CN"/>
        </w:rPr>
        <w:t>减少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779.73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958.45</w:t>
      </w:r>
      <w:r>
        <w:rPr>
          <w:rFonts w:hint="eastAsia" w:ascii="仿宋_GB2312" w:eastAsia="仿宋_GB2312"/>
          <w:color w:val="auto"/>
          <w:spacing w:val="0"/>
          <w:sz w:val="32"/>
          <w:szCs w:val="32"/>
          <w:highlight w:val="none"/>
          <w:lang w:eastAsia="zh-CN"/>
        </w:rPr>
        <w:t>万元，预决算差异率22.92%，主要原因是：</w:t>
      </w:r>
      <w:r>
        <w:rPr>
          <w:rFonts w:hint="eastAsia" w:ascii="仿宋_GB2312" w:eastAsia="仿宋_GB2312"/>
          <w:sz w:val="32"/>
          <w:szCs w:val="32"/>
        </w:rPr>
        <w:t>预算执行中新增项目支出</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2023年度一般公共预算财政拨款支出956.78万元，占本年支出合计的</w:t>
      </w:r>
      <w:r>
        <w:rPr>
          <w:rFonts w:hint="eastAsia" w:ascii="仿宋_GB2312" w:eastAsia="仿宋_GB2312"/>
          <w:color w:val="auto"/>
          <w:spacing w:val="0"/>
          <w:sz w:val="32"/>
          <w:szCs w:val="32"/>
          <w:highlight w:val="none"/>
          <w:lang w:val="zh-CN" w:eastAsia="zh-CN"/>
        </w:rPr>
        <w:t>57.39%</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减少153.65万元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下降13.84%,</w:t>
      </w:r>
      <w:r>
        <w:rPr>
          <w:rFonts w:hint="eastAsia" w:ascii="仿宋_GB2312" w:eastAsia="仿宋_GB2312"/>
          <w:color w:val="auto"/>
          <w:spacing w:val="0"/>
          <w:sz w:val="32"/>
          <w:szCs w:val="32"/>
          <w:highlight w:val="none"/>
          <w:lang w:eastAsia="zh-CN"/>
        </w:rPr>
        <w:t>主要原因是：项目数量减少，相应项目经费支出较上年减少。与年初预算相比，年初预算数</w:t>
      </w:r>
      <w:r>
        <w:rPr>
          <w:rFonts w:hint="eastAsia" w:ascii="仿宋_GB2312" w:eastAsia="仿宋_GB2312"/>
          <w:color w:val="auto"/>
          <w:spacing w:val="0"/>
          <w:sz w:val="32"/>
          <w:szCs w:val="32"/>
          <w:highlight w:val="none"/>
          <w:lang w:val="zh-CN" w:eastAsia="zh-CN"/>
        </w:rPr>
        <w:t>779.73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956.78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22.71%</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预算执行中新增项目支出</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731.86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76.49</w:t>
      </w:r>
      <w:r>
        <w:rPr>
          <w:rFonts w:hint="default" w:ascii="仿宋_GB2312" w:hAnsi="Times New Roman" w:eastAsia="仿宋_GB2312" w:cs="Times New Roman"/>
          <w:color w:val="auto"/>
          <w:spacing w:val="0"/>
          <w:kern w:val="2"/>
          <w:sz w:val="32"/>
          <w:szCs w:val="32"/>
          <w:highlight w:val="none"/>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224.92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23.51</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科学技术支出（类）科技条件与服务（款）其他科技条件与服务支出（项）:支出决算数为2.19万元，比上年决算减少5.77万元，下降</w:t>
      </w:r>
      <w:r>
        <w:rPr>
          <w:rFonts w:hint="eastAsia" w:ascii="仿宋_GB2312" w:hAnsi="仿宋_GB2312" w:eastAsia="仿宋_GB2312" w:cs="仿宋_GB2312"/>
          <w:color w:val="auto"/>
          <w:kern w:val="2"/>
          <w:sz w:val="32"/>
          <w:szCs w:val="32"/>
          <w:highlight w:val="none"/>
          <w:lang w:val="en-US" w:eastAsia="zh-CN" w:bidi="ar-SA"/>
        </w:rPr>
        <w:t>72.49%，主要原因是：项目申报经费减少，相应项目支出较上年减少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2.科学技术支出（类）应用研究（款）机构运行（项）:支出决算数为641.35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w:t>
      </w:r>
      <w:bookmarkStart w:id="48" w:name="_GoBack"/>
      <w:bookmarkEnd w:id="48"/>
      <w:r>
        <w:rPr>
          <w:rFonts w:hint="eastAsia" w:ascii="Times New Roman" w:hAnsi="Times New Roman" w:eastAsia="仿宋_GB2312" w:cs="Times New Roman"/>
          <w:color w:val="auto"/>
          <w:kern w:val="2"/>
          <w:sz w:val="32"/>
          <w:szCs w:val="32"/>
          <w:highlight w:val="none"/>
          <w:lang w:val="en-US" w:eastAsia="zh-CN" w:bidi="ar-SA"/>
        </w:rPr>
        <w:t>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48.81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8.24%，主要原因是：</w:t>
      </w:r>
      <w:r>
        <w:rPr>
          <w:rFonts w:hint="eastAsia" w:ascii="仿宋_GB2312" w:eastAsia="仿宋_GB2312"/>
          <w:sz w:val="32"/>
          <w:szCs w:val="32"/>
        </w:rPr>
        <w:t>政策性因素增资使得相应人员经费支出增加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3.农林水支出（类）林业和草原（款）技术推广与转化（项）:支出决算数为94.92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242.20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71.84%，主要原因是：</w:t>
      </w:r>
      <w:r>
        <w:rPr>
          <w:rFonts w:hint="eastAsia" w:eastAsia="仿宋_GB2312" w:cs="Times New Roman"/>
          <w:color w:val="auto"/>
          <w:kern w:val="2"/>
          <w:sz w:val="32"/>
          <w:szCs w:val="32"/>
          <w:highlight w:val="none"/>
          <w:lang w:val="en-US" w:eastAsia="zh-CN" w:bidi="ar-SA"/>
        </w:rPr>
        <w:t>项目申报经费减少，相应项目支出较上年减少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4.农林水支出（类）林业和草原（款）其他林业和草原支出（项）:支出决算数为130.00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14.51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10.04%，主要原因是：</w:t>
      </w:r>
      <w:r>
        <w:rPr>
          <w:rFonts w:hint="eastAsia" w:eastAsia="仿宋_GB2312" w:cs="Times New Roman"/>
          <w:color w:val="auto"/>
          <w:kern w:val="2"/>
          <w:sz w:val="32"/>
          <w:szCs w:val="32"/>
          <w:highlight w:val="none"/>
          <w:lang w:val="en-US" w:eastAsia="zh-CN" w:bidi="ar-SA"/>
        </w:rPr>
        <w:t>项目申报经费减少，相应项目支出较上年减少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5.科学技术支出（类）基础研究（款）科技人才队伍建设（项）:支出决算数为88.32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88.32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rPr>
        <w:t>申报项目数量增加，相应项目经费支出较上年增加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6.农林水支出（类）农业农村（款）科技转化与推广服务（项）:支出决算数为0.00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rPr>
        <w:t>本年无此项经费支出</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7.社会保障和就业支出（类）人力资源和社会保障管理事务（款）其他人力资源和社会保障管理事务支出（项）:支出决算数为0.00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3.30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rPr>
        <w:t>本年无此项经费支出</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641.35</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594.63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基本工资、津贴补贴、奖金、机关事业单位基本养老保险缴费、职业年金缴费、职工基本医疗保险缴费、公务员医疗补助缴费、其他社会保障缴费、住房公积金、退休费、其他对个人和家庭的补助。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46.72</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办公费、印刷费、咨询费、水费、电费、邮电费、取暖费、差旅费、维修（护）费、专用材料费、劳务费、委托业务费、工会经费、福利费、税金及附加费用。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我单位无公务用车购置及运行维护费</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sz w:val="32"/>
          <w:szCs w:val="32"/>
        </w:rPr>
        <w:t>我单位无公务用车</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新疆林科院造林治沙研究所（事业单位）公用经费支出46.72万元，</w:t>
      </w:r>
      <w:r>
        <w:rPr>
          <w:rFonts w:hint="eastAsia" w:ascii="Times New Roman" w:hAnsi="Times New Roman" w:eastAsia="仿宋_GB2312" w:cs="Times New Roman"/>
          <w:color w:val="auto"/>
          <w:sz w:val="32"/>
          <w:szCs w:val="32"/>
          <w:highlight w:val="none"/>
          <w:lang w:val="zh-CN" w:eastAsia="zh-CN"/>
        </w:rPr>
        <w:t>比上年增加4.08万元，增长9.57%，主要原因是：政策性因素增资使得公用经费相应增长</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0.50万元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其中：政府采购货物支出0.50万元、政府采购工程支出0.00万元、政府采购服务支出0.00万元。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授予中小企业合同金额0.50万元，占政府采购支出总额的100.00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，其中：授予小微企业合同金额0.50万元，占政府采购支出总额的100.00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927.13</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屋40.00平方米，价值1.50万元。车辆0辆，价值0.00万元，其中：副部（省）级及以上领导用车0辆、主要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ascii="仿宋_GB2312" w:eastAsia="仿宋_GB2312"/>
          <w:sz w:val="32"/>
          <w:szCs w:val="32"/>
        </w:rPr>
        <w:t>我单位无其他用车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我单位整体支出绩效自评是由自治区科技厅（部门）完成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全年预算数629.88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全年执行数629.88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rPr>
        <w:t>一是按照绩效目标高效、高质量完成各项工作内容；二是能够及时发现问题并及时调整各项工作内容</w:t>
      </w:r>
      <w:r>
        <w:rPr>
          <w:rFonts w:hint="eastAsia" w:ascii="仿宋_GB2312" w:eastAsia="仿宋_GB2312"/>
          <w:sz w:val="32"/>
          <w:szCs w:val="32"/>
        </w:rPr>
        <w:t>。发现的问题及原因：</w:t>
      </w:r>
      <w:r>
        <w:rPr>
          <w:rFonts w:ascii="仿宋_GB2312" w:eastAsia="仿宋_GB2312"/>
          <w:sz w:val="32"/>
          <w:szCs w:val="32"/>
        </w:rPr>
        <w:t>一是前期绩效目标不够细致；二是没有考虑到项目实施可能遇到的变量</w:t>
      </w:r>
      <w:r>
        <w:rPr>
          <w:rFonts w:hint="eastAsia" w:ascii="仿宋_GB2312" w:eastAsia="仿宋_GB2312"/>
          <w:sz w:val="32"/>
          <w:szCs w:val="32"/>
        </w:rPr>
        <w:t>。下一步改进措施：</w:t>
      </w:r>
      <w:r>
        <w:rPr>
          <w:rFonts w:ascii="仿宋_GB2312" w:eastAsia="仿宋_GB2312"/>
          <w:sz w:val="32"/>
          <w:szCs w:val="32"/>
        </w:rPr>
        <w:t>一是完善预算绩效管理基础工作，做细各项绩效指标；二是继续提升预算绩效管理的深度和广度，全面考虑项目实施各项因素</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kZGExNTNlMDAxZmZhMzRkMDYzZjk2ODQ0MzM3OTQ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806523"/>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916F20"/>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DC0DF8"/>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7F13D47"/>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EF47521"/>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4F66734"/>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6F4C02"/>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4508E"/>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4897</Words>
  <Characters>5488</Characters>
  <Lines>0</Lines>
  <Paragraphs>0</Paragraphs>
  <TotalTime>0</TotalTime>
  <ScaleCrop>false</ScaleCrop>
  <LinksUpToDate>false</LinksUpToDate>
  <CharactersWithSpaces>5499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2024-08-22T08:16:00Z</cp:lastPrinted>
  <dcterms:modified xsi:type="dcterms:W3CDTF">2024-10-14T09:34:10Z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