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新疆林科院森林生态研究所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outlineLvl w:val="1"/>
        <w:rPr>
          <w:rFonts w:hint="eastAsia" w:ascii="仿宋_GB2312" w:hAnsi="宋体" w:eastAsia="仿宋_GB2312"/>
          <w:sz w:val="30"/>
        </w:rPr>
      </w:pPr>
      <w:bookmarkStart w:id="4" w:name="_Toc31238"/>
      <w:bookmarkStart w:id="5" w:name="_Toc2151"/>
      <w:r>
        <w:rPr>
          <w:rFonts w:hint="eastAsia" w:ascii="仿宋_GB2312" w:hAnsi="宋体" w:eastAsia="仿宋_GB2312"/>
          <w:sz w:val="30"/>
        </w:rPr>
        <w:t>新疆林科院森林生态研究所，县处级事业单位，属新疆林科院下属三级核算单位，主要承担森林资源保护与生态环境建设研究、森林昆虫、病理、生物防治、森林消防、野生动物与湿地研究、天然林保护工程、生态环境评估、森林植物、水源涵养与水土保持、森林培育、植物生理生化、遗传育种培养、林区资源经营开发利用的研究，以及森林旅游景观规划设计的研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新疆林科院森林生态研究所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p>
    <w:p>
      <w:pPr>
        <w:spacing w:line="580" w:lineRule="exact"/>
        <w:ind w:firstLine="660"/>
        <w:jc w:val="both"/>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highlight w:val="none"/>
        </w:rPr>
        <w:t>单位无下属预算单位，下设6个处室，分别是：综合办公室、森林生态研究室、野生动植物及湿地研究室、护林防火研究室、森林资源保护利用研究室、碳汇研究室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2,561.60万元，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2,283.48万元，使用非财政拨款结余0.00万元，年初结转和结余278.12万元。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2,561.60万元，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2,170.67万元，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0.00万元，年末结转和结余390.93万元。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增加1,439.59万元</w:t>
      </w:r>
      <w:r>
        <w:rPr>
          <w:rFonts w:hint="eastAsia" w:ascii="仿宋_GB2312" w:eastAsia="仿宋_GB2312"/>
          <w:color w:val="auto"/>
          <w:spacing w:val="0"/>
          <w:sz w:val="32"/>
          <w:szCs w:val="32"/>
          <w:highlight w:val="none"/>
          <w:lang w:eastAsia="zh-CN"/>
        </w:rPr>
        <w:t>，增长128.30%，主要原因是：</w:t>
      </w:r>
      <w:r>
        <w:rPr>
          <w:rFonts w:hint="eastAsia" w:ascii="仿宋_GB2312" w:eastAsia="仿宋_GB2312"/>
          <w:sz w:val="32"/>
          <w:szCs w:val="32"/>
          <w:highlight w:val="none"/>
        </w:rPr>
        <w:t>申报项目数量增加，项目经费</w:t>
      </w:r>
      <w:r>
        <w:rPr>
          <w:rFonts w:hint="eastAsia" w:ascii="仿宋_GB2312" w:eastAsia="仿宋_GB2312"/>
          <w:color w:val="auto"/>
          <w:spacing w:val="0"/>
          <w:sz w:val="32"/>
          <w:szCs w:val="32"/>
          <w:highlight w:val="none"/>
          <w:lang w:val="en-US" w:eastAsia="zh-CN"/>
        </w:rPr>
        <w:t>收入支出</w:t>
      </w:r>
      <w:r>
        <w:rPr>
          <w:rFonts w:hint="eastAsia" w:ascii="仿宋_GB2312" w:eastAsia="仿宋_GB2312"/>
          <w:sz w:val="32"/>
          <w:szCs w:val="32"/>
          <w:highlight w:val="none"/>
        </w:rPr>
        <w:t>相应较上年增加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2,283.48</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1,710.14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74.89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572.05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25.05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1.28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本年支出2,170.67万元，其中：基本支出657.33万元，占30.28%；项目支出1,513.34万元，占69.72%；上缴上级支出0.00万元，占0.00%；经营支出0.00万元，占0.00%；对附属单位补助支出0.00万元，占0.00%。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1,711.89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1.75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1,710.14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1,711.89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1,711.89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增加921.85万元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增长116.68%,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政策性因素增资使得预算调整人员经费增长；同时预算调整新增项目预算</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1,581.42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1,711.89</w:t>
      </w:r>
      <w:r>
        <w:rPr>
          <w:rFonts w:hint="eastAsia" w:ascii="仿宋_GB2312" w:eastAsia="仿宋_GB2312"/>
          <w:color w:val="auto"/>
          <w:spacing w:val="0"/>
          <w:sz w:val="32"/>
          <w:szCs w:val="32"/>
          <w:highlight w:val="none"/>
          <w:lang w:eastAsia="zh-CN"/>
        </w:rPr>
        <w:t>万元，预决算差异率8.25%，主要原因是：</w:t>
      </w:r>
      <w:r>
        <w:rPr>
          <w:rFonts w:hint="eastAsia" w:ascii="仿宋_GB2312" w:eastAsia="仿宋_GB2312"/>
          <w:sz w:val="32"/>
          <w:szCs w:val="32"/>
          <w:highlight w:val="none"/>
        </w:rPr>
        <w:t>政策性因素增资使得预算调整人员经费支出增长</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同时预算调整新增项目支出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2023年度一般公共预算财政拨款支出1,711.89万元，占本年支出合计的</w:t>
      </w:r>
      <w:r>
        <w:rPr>
          <w:rFonts w:hint="eastAsia" w:ascii="仿宋_GB2312" w:eastAsia="仿宋_GB2312"/>
          <w:color w:val="auto"/>
          <w:spacing w:val="0"/>
          <w:sz w:val="32"/>
          <w:szCs w:val="32"/>
          <w:highlight w:val="none"/>
          <w:lang w:val="zh-CN" w:eastAsia="zh-CN"/>
        </w:rPr>
        <w:t>78.86%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增加923.60万元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增长117.16%,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政策性因素增资使得相应人员经费支出增加；申报项目数量增加，相应项目经费支出较上年增加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1,581.42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1,711.89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8.25%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政策性因素增资使得相应人员经费支出增加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申报项目数量增加，相应项目经费支出较上年增加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684.80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40.00</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219.96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12.85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807.13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47.15</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1.科学技术支出（类）科技条件与服务（款）其他科技条件与服务支出（项）:支出决算数为1.75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250.00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rPr>
        <w:t>申报项目数量</w:t>
      </w:r>
      <w:r>
        <w:rPr>
          <w:rFonts w:hint="eastAsia" w:eastAsia="仿宋_GB2312" w:cs="Times New Roman"/>
          <w:color w:val="auto"/>
          <w:kern w:val="2"/>
          <w:sz w:val="32"/>
          <w:szCs w:val="32"/>
          <w:highlight w:val="none"/>
          <w:lang w:val="en-US" w:eastAsia="zh-CN" w:bidi="ar-SA"/>
        </w:rPr>
        <w:t>增加</w:t>
      </w:r>
      <w:r>
        <w:rPr>
          <w:rFonts w:hint="eastAsia" w:ascii="仿宋_GB2312" w:eastAsia="仿宋_GB2312"/>
          <w:sz w:val="32"/>
          <w:szCs w:val="32"/>
          <w:highlight w:val="none"/>
        </w:rPr>
        <w:t>，相应项目经费支出较上年</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2.科学技术支出（类）应用研究（款）机构运行（项）:支出决算数为656.05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31.69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5.08%，主要原因是：</w:t>
      </w:r>
      <w:r>
        <w:rPr>
          <w:rFonts w:hint="eastAsia" w:ascii="仿宋_GB2312" w:eastAsia="仿宋_GB2312"/>
          <w:sz w:val="32"/>
          <w:szCs w:val="32"/>
          <w:highlight w:val="none"/>
        </w:rPr>
        <w:t>政策性因素人员经费增加，相应人员经费支出较上年增加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3.农林水支出（类）林业和草原（款）草原管理（项）:支出决算数为550.00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highlight w:val="none"/>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4.节能环保支出（类）自然生态保护（款）生物及物种资源保护（项）:支出决算数为219.96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219.96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highlight w:val="none"/>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5.农林水支出（类）林业和草原（款）技术推广与转化（项）:支出决算数为157.13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154.39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5634.67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6.农林水支出（类）林业和草原（款）其他林业和草原支出（项）:支出决算数为100.00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39.31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64.78%，主要原因是：</w:t>
      </w:r>
      <w:r>
        <w:rPr>
          <w:rFonts w:hint="eastAsia" w:ascii="仿宋_GB2312" w:eastAsia="仿宋_GB2312"/>
          <w:sz w:val="32"/>
          <w:szCs w:val="32"/>
          <w:highlight w:val="none"/>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7.科学技术支出（类）基础研究（款）科技人才队伍建设（项）:支出决算数为27.00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highlight w:val="none"/>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8.农林水支出（类）林业和草原（款）动植物保护（项）:支出决算数为0.00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highlight w:val="none"/>
        </w:rPr>
        <w:t>申报项目数量</w:t>
      </w:r>
      <w:r>
        <w:rPr>
          <w:rFonts w:hint="eastAsia" w:eastAsia="仿宋_GB2312" w:cs="Times New Roman"/>
          <w:color w:val="auto"/>
          <w:kern w:val="2"/>
          <w:sz w:val="32"/>
          <w:szCs w:val="32"/>
          <w:highlight w:val="none"/>
          <w:lang w:val="en-US" w:eastAsia="zh-CN" w:bidi="ar-SA"/>
        </w:rPr>
        <w:t>减少</w:t>
      </w:r>
      <w:r>
        <w:rPr>
          <w:rFonts w:hint="eastAsia" w:ascii="仿宋_GB2312" w:eastAsia="仿宋_GB2312"/>
          <w:sz w:val="32"/>
          <w:szCs w:val="32"/>
          <w:highlight w:val="none"/>
        </w:rPr>
        <w:t>，相应项目经费支出较上年</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656.05</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603.48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基本工资、津贴补贴、奖金、机关事业单位基本养老保险缴费、职业年金缴费、职工基本医疗保险缴费、公务员医疗补助缴费、其他社会保障缴费、住房公积金、退休费、生活补助、其他对个人和家庭的补助。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52.58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办公费、手续费、水费、电费、取暖费、差旅费、维修（护）费、培训费、专用材料费、劳务费、工会经费、福利费、公务用车运行维护费、税金及附加费用、其他商品和服务支出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“三公”经费支出1.84万元，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减少0.08万元，</w:t>
      </w:r>
      <w:r>
        <w:rPr>
          <w:rFonts w:hint="eastAsia" w:ascii="仿宋_GB2312" w:eastAsia="仿宋_GB2312"/>
          <w:color w:val="auto"/>
          <w:spacing w:val="0"/>
          <w:sz w:val="32"/>
          <w:szCs w:val="32"/>
          <w:highlight w:val="none"/>
          <w:lang w:val="en-US" w:eastAsia="zh-CN"/>
        </w:rPr>
        <w:t>下降4.</w:t>
      </w:r>
      <w:r>
        <w:rPr>
          <w:rFonts w:hint="default" w:ascii="仿宋_GB2312" w:eastAsia="仿宋_GB2312"/>
          <w:color w:val="auto"/>
          <w:spacing w:val="0"/>
          <w:sz w:val="32"/>
          <w:szCs w:val="32"/>
          <w:highlight w:val="none"/>
          <w:lang w:val="en-US" w:eastAsia="zh-CN"/>
        </w:rPr>
        <w:t>17</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严格执行“三公”经费预算，加强公务用车管理，减少公车出行</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；公务用车购置及运行维护费支出1.84万元，占100.00%，比上年减少0.08万元，</w:t>
      </w:r>
      <w:r>
        <w:rPr>
          <w:rFonts w:hint="eastAsia" w:ascii="仿宋_GB2312" w:eastAsia="仿宋_GB2312"/>
          <w:color w:val="auto"/>
          <w:spacing w:val="0"/>
          <w:sz w:val="32"/>
          <w:szCs w:val="32"/>
          <w:highlight w:val="none"/>
          <w:lang w:val="en-US" w:eastAsia="zh-CN"/>
        </w:rPr>
        <w:t>下降4.</w:t>
      </w:r>
      <w:r>
        <w:rPr>
          <w:rFonts w:hint="default" w:ascii="仿宋_GB2312" w:eastAsia="仿宋_GB2312"/>
          <w:color w:val="auto"/>
          <w:spacing w:val="0"/>
          <w:sz w:val="32"/>
          <w:szCs w:val="32"/>
          <w:highlight w:val="none"/>
          <w:lang w:val="en-US" w:eastAsia="zh-CN"/>
        </w:rPr>
        <w:t>17</w:t>
      </w:r>
      <w:bookmarkStart w:id="48" w:name="_GoBack"/>
      <w:bookmarkEnd w:id="48"/>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严格执行“三公”经费预算，加强公务用车管理，减少公车出行</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公务用车购置及运行维护费1.84万元，其中：公务用车购置费0.00万元，公务用车运行维护费1.84万元。公务用车运行维护费开支内容包括</w:t>
      </w:r>
      <w:r>
        <w:rPr>
          <w:rFonts w:hint="eastAsia" w:ascii="仿宋_GB2312" w:eastAsia="仿宋_GB2312"/>
          <w:sz w:val="32"/>
          <w:szCs w:val="32"/>
          <w:highlight w:val="none"/>
        </w:rPr>
        <w:t>燃料费、维修费、过路过桥费、车辆保险费</w:t>
      </w:r>
      <w:r>
        <w:rPr>
          <w:rFonts w:hint="eastAsia" w:ascii="仿宋_GB2312" w:eastAsia="仿宋_GB2312"/>
          <w:color w:val="auto"/>
          <w:sz w:val="32"/>
          <w:szCs w:val="32"/>
          <w:highlight w:val="none"/>
          <w:lang w:val="zh-CN" w:eastAsia="zh-CN"/>
        </w:rPr>
        <w:t>。公务用车购置数0辆，公务用车保有量3辆。国有资产占用情况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原因是：未产生差异。</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预算数1.84万元，决算数1.84万元，预决算差异率0.00%，主要原因是：</w:t>
      </w:r>
      <w:r>
        <w:rPr>
          <w:rFonts w:hint="eastAsia" w:ascii="仿宋_GB2312" w:eastAsia="仿宋_GB2312"/>
          <w:sz w:val="32"/>
          <w:szCs w:val="32"/>
          <w:highlight w:val="none"/>
        </w:rPr>
        <w:t>严格控制公务用车，加强公务用车管理</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预算数1.84万元，决算数1.84万元，预决算差异率0.00%，主要原因是：</w:t>
      </w:r>
      <w:r>
        <w:rPr>
          <w:rFonts w:hint="eastAsia" w:ascii="仿宋_GB2312" w:eastAsia="仿宋_GB2312"/>
          <w:sz w:val="32"/>
          <w:szCs w:val="32"/>
          <w:highlight w:val="none"/>
        </w:rPr>
        <w:t>加强公务用车管理，减少公车出行</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新疆林科院森林生态研究所（事业单位）公用经费支出52.58万元，</w:t>
      </w:r>
      <w:r>
        <w:rPr>
          <w:rFonts w:hint="eastAsia" w:ascii="Times New Roman" w:hAnsi="Times New Roman" w:eastAsia="仿宋_GB2312" w:cs="Times New Roman"/>
          <w:color w:val="auto"/>
          <w:sz w:val="32"/>
          <w:szCs w:val="32"/>
          <w:highlight w:val="none"/>
          <w:lang w:val="zh-CN" w:eastAsia="zh-CN"/>
        </w:rPr>
        <w:t>比上年增加</w:t>
      </w:r>
      <w:r>
        <w:rPr>
          <w:rFonts w:hint="eastAsia" w:ascii="仿宋_GB2312" w:hAnsi="仿宋_GB2312" w:eastAsia="仿宋_GB2312" w:cs="仿宋_GB2312"/>
          <w:color w:val="auto"/>
          <w:sz w:val="32"/>
          <w:szCs w:val="32"/>
          <w:highlight w:val="none"/>
          <w:lang w:val="zh-CN" w:eastAsia="zh-CN"/>
        </w:rPr>
        <w:t>12.70</w:t>
      </w:r>
      <w:r>
        <w:rPr>
          <w:rFonts w:hint="eastAsia" w:ascii="Times New Roman" w:hAnsi="Times New Roman" w:eastAsia="仿宋_GB2312" w:cs="Times New Roman"/>
          <w:color w:val="auto"/>
          <w:sz w:val="32"/>
          <w:szCs w:val="32"/>
          <w:highlight w:val="none"/>
          <w:lang w:val="zh-CN" w:eastAsia="zh-CN"/>
        </w:rPr>
        <w:t>万元，增长</w:t>
      </w:r>
      <w:r>
        <w:rPr>
          <w:rFonts w:hint="eastAsia" w:ascii="仿宋_GB2312" w:hAnsi="仿宋_GB2312" w:eastAsia="仿宋_GB2312" w:cs="仿宋_GB2312"/>
          <w:color w:val="auto"/>
          <w:sz w:val="32"/>
          <w:szCs w:val="32"/>
          <w:highlight w:val="none"/>
          <w:lang w:val="zh-CN" w:eastAsia="zh-CN"/>
        </w:rPr>
        <w:t>31.85</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eastAsia="仿宋_GB2312"/>
          <w:sz w:val="32"/>
          <w:szCs w:val="32"/>
        </w:rPr>
        <w:t>政策性因素</w:t>
      </w:r>
      <w:r>
        <w:rPr>
          <w:rFonts w:hint="eastAsia" w:ascii="仿宋_GB2312" w:eastAsia="仿宋_GB2312"/>
          <w:sz w:val="32"/>
          <w:szCs w:val="32"/>
          <w:lang w:eastAsia="zh-CN"/>
        </w:rPr>
        <w:t>增资使得公用</w:t>
      </w:r>
      <w:r>
        <w:rPr>
          <w:rFonts w:hint="eastAsia" w:ascii="仿宋_GB2312" w:eastAsia="仿宋_GB2312"/>
          <w:sz w:val="32"/>
          <w:szCs w:val="32"/>
        </w:rPr>
        <w:t>经费</w:t>
      </w:r>
      <w:r>
        <w:rPr>
          <w:rFonts w:hint="eastAsia" w:ascii="仿宋_GB2312" w:eastAsia="仿宋_GB2312"/>
          <w:sz w:val="32"/>
          <w:szCs w:val="32"/>
          <w:lang w:eastAsia="zh-CN"/>
        </w:rPr>
        <w:t>相应</w:t>
      </w:r>
      <w:r>
        <w:rPr>
          <w:rFonts w:hint="eastAsia" w:ascii="仿宋_GB2312" w:eastAsia="仿宋_GB2312"/>
          <w:sz w:val="32"/>
          <w:szCs w:val="32"/>
        </w:rPr>
        <w:t>增</w:t>
      </w:r>
      <w:r>
        <w:rPr>
          <w:rFonts w:hint="eastAsia" w:ascii="仿宋_GB2312" w:eastAsia="仿宋_GB2312"/>
          <w:sz w:val="32"/>
          <w:szCs w:val="32"/>
          <w:lang w:eastAsia="zh-CN"/>
        </w:rPr>
        <w:t>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56.20万元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其中：政府采购货物支出56.20万元、政府采购工程支出0.00万元、政府采购服务支出0.00万元。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授予中小企业合同金额56.20万元，占政府采购支出总额的100.00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，其中：授予小微企业合同金额56.20万元，占政府采购支出总额的100.00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1,327.94</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屋650.00平方米，价值34.63万元。车辆3辆，价值56.19万元，其中：副部（省）级及以上领导用车0辆、主要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用车0辆、机要通信用车0辆、应急保障用车0辆、执法执勤用车0辆、特种专业技术用车1辆、离退休干部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用车0辆、其他用车2辆，其他用车主要是：</w:t>
      </w:r>
      <w:r>
        <w:rPr>
          <w:rFonts w:hint="eastAsia" w:ascii="仿宋_GB2312" w:eastAsia="仿宋_GB2312"/>
          <w:sz w:val="32"/>
          <w:szCs w:val="32"/>
          <w:highlight w:val="none"/>
        </w:rPr>
        <w:t>单位日常运行用车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全年预算数253.5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全年执行数253.5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rPr>
        <w:t>一是按照绩效目标高效、高质量完成各项工作内容；二是能够及时发现问题并及时调整各项工作内容。发现的问题及原因：一是前期绩效目标不够细致；二是没有考虑到项目实施可能遇到的变量。下一步改进措施：一是完善预算绩效管理基础工作，做细各项绩效指标；二是继续提升预算绩效管理的深度和广度，全面考虑项目实施各项因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4ZTRmODVkYmQwMWVmYmMwY2E3YmJlZjk3N2ZhODAifQ=="/>
    <w:docVar w:name="KSO_WPS_MARK_KEY" w:val="41ee2a61-2d54-4f93-83be-afdb9a40d732"/>
  </w:docVars>
  <w:rsids>
    <w:rsidRoot w:val="00000000"/>
    <w:rsid w:val="00213C59"/>
    <w:rsid w:val="003210CE"/>
    <w:rsid w:val="00B70D59"/>
    <w:rsid w:val="00F52A8D"/>
    <w:rsid w:val="019404F8"/>
    <w:rsid w:val="01ED22F2"/>
    <w:rsid w:val="02BD3108"/>
    <w:rsid w:val="02F73D26"/>
    <w:rsid w:val="032F329C"/>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FB7EA0"/>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CD5366"/>
    <w:rsid w:val="19D26CD4"/>
    <w:rsid w:val="19E60D19"/>
    <w:rsid w:val="1A3E3450"/>
    <w:rsid w:val="1AD807E5"/>
    <w:rsid w:val="1B39345B"/>
    <w:rsid w:val="1BFB2A1F"/>
    <w:rsid w:val="1C015D4A"/>
    <w:rsid w:val="1C290ED5"/>
    <w:rsid w:val="1C317E4F"/>
    <w:rsid w:val="1C472464"/>
    <w:rsid w:val="1D22799A"/>
    <w:rsid w:val="1D5C1A72"/>
    <w:rsid w:val="1DAF458D"/>
    <w:rsid w:val="1E086ACE"/>
    <w:rsid w:val="1E254D36"/>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036E65"/>
    <w:rsid w:val="2483647E"/>
    <w:rsid w:val="24A32D55"/>
    <w:rsid w:val="25292727"/>
    <w:rsid w:val="252E5CA9"/>
    <w:rsid w:val="256F7692"/>
    <w:rsid w:val="25BA2154"/>
    <w:rsid w:val="25C8773F"/>
    <w:rsid w:val="264A7253"/>
    <w:rsid w:val="26F0170C"/>
    <w:rsid w:val="27201D62"/>
    <w:rsid w:val="27286E73"/>
    <w:rsid w:val="27B33F42"/>
    <w:rsid w:val="27CF2642"/>
    <w:rsid w:val="27E777F5"/>
    <w:rsid w:val="27EA1D4C"/>
    <w:rsid w:val="27EA2E41"/>
    <w:rsid w:val="2809315D"/>
    <w:rsid w:val="282459E2"/>
    <w:rsid w:val="283A7FE5"/>
    <w:rsid w:val="285F51FF"/>
    <w:rsid w:val="28DF2665"/>
    <w:rsid w:val="29043A71"/>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105AEB"/>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87A62"/>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1B043B"/>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C056C3"/>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5E816A3"/>
    <w:rsid w:val="5604127D"/>
    <w:rsid w:val="56166703"/>
    <w:rsid w:val="56510474"/>
    <w:rsid w:val="56861525"/>
    <w:rsid w:val="56A93273"/>
    <w:rsid w:val="56B758D6"/>
    <w:rsid w:val="56BD550C"/>
    <w:rsid w:val="56E07045"/>
    <w:rsid w:val="56FF28AF"/>
    <w:rsid w:val="57540E7D"/>
    <w:rsid w:val="577B4878"/>
    <w:rsid w:val="57926973"/>
    <w:rsid w:val="58175352"/>
    <w:rsid w:val="581F2200"/>
    <w:rsid w:val="583059FA"/>
    <w:rsid w:val="584A0929"/>
    <w:rsid w:val="58CD2491"/>
    <w:rsid w:val="591B41B2"/>
    <w:rsid w:val="59205900"/>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4532A3"/>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6B58A8"/>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250DD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C9594A"/>
    <w:rsid w:val="7C7248A0"/>
    <w:rsid w:val="7C976D69"/>
    <w:rsid w:val="7CD752DA"/>
    <w:rsid w:val="7CDE40AB"/>
    <w:rsid w:val="7CF057E2"/>
    <w:rsid w:val="7D1548B5"/>
    <w:rsid w:val="7D175C7D"/>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5972</Words>
  <Characters>6930</Characters>
  <Lines>0</Lines>
  <Paragraphs>0</Paragraphs>
  <TotalTime>0</TotalTime>
  <ScaleCrop>false</ScaleCrop>
  <LinksUpToDate>false</LinksUpToDate>
  <CharactersWithSpaces>6943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2024-10-30T03:17:06Z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