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新疆畜牧科学院畜牧业经济与信息研究所（新疆维吾尔自治区畜牧科技宣传教育中心）</w:t>
      </w:r>
    </w:p>
    <w:p>
      <w:pPr>
        <w:jc w:val="center"/>
        <w:rPr>
          <w:rFonts w:ascii="方正小标宋_GBK" w:hAnsi="宋体" w:eastAsia="方正小标宋_GBK"/>
          <w:sz w:val="44"/>
          <w:szCs w:val="44"/>
        </w:rPr>
      </w:pPr>
      <w:r>
        <w:rPr>
          <w:rFonts w:hint="eastAsia" w:ascii="方正小标宋_GBK" w:hAnsi="宋体" w:eastAsia="方正小标宋_GBK"/>
          <w:sz w:val="44"/>
          <w:szCs w:val="44"/>
        </w:rPr>
        <w:t xml:space="preserve"> 2023年度部门决算</w:t>
      </w:r>
    </w:p>
    <w:p>
      <w:pPr>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pPr>
        <w:rPr>
          <w:rFonts w:ascii="方正小标宋_GBK" w:hAnsi="宋体" w:eastAsia="方正小标宋_GBK"/>
          <w:sz w:val="44"/>
          <w:szCs w:val="44"/>
        </w:rPr>
      </w:pPr>
      <w:r>
        <w:rPr>
          <w:rFonts w:hint="eastAsia" w:ascii="方正小标宋_GBK" w:hAnsi="宋体" w:eastAsia="方正小标宋_GBK"/>
          <w:sz w:val="44"/>
          <w:szCs w:val="44"/>
        </w:rPr>
        <w:br w:type="page"/>
      </w:r>
    </w:p>
    <w:p>
      <w:pPr>
        <w:jc w:val="center"/>
        <w:rPr>
          <w:rFonts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pPr>
        <w:pStyle w:val="9"/>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pPr>
        <w:pStyle w:val="10"/>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10"/>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9"/>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10"/>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10"/>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10"/>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10"/>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10"/>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10"/>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10"/>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10"/>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10"/>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6"/>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6"/>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6"/>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10"/>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10"/>
        <w:tabs>
          <w:tab w:val="right" w:pos="8306"/>
        </w:tabs>
        <w:ind w:left="0" w:leftChars="0"/>
        <w:rPr>
          <w:rFonts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pPr>
        <w:pStyle w:val="9"/>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9"/>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10"/>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10"/>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10"/>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10"/>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10"/>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10"/>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10"/>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10"/>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10"/>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rPr>
          <w:rFonts w:ascii="仿宋_GB2312" w:eastAsia="仿宋_GB2312"/>
          <w:sz w:val="32"/>
          <w:szCs w:val="32"/>
        </w:rPr>
      </w:pPr>
      <w:r>
        <w:rPr>
          <w:rFonts w:hint="eastAsia" w:ascii="仿宋_GB2312" w:eastAsia="仿宋_GB2312"/>
          <w:sz w:val="32"/>
          <w:szCs w:val="32"/>
        </w:rPr>
        <w:br w:type="page"/>
      </w:r>
    </w:p>
    <w:p>
      <w:pPr>
        <w:jc w:val="center"/>
        <w:outlineLvl w:val="0"/>
        <w:rPr>
          <w:rFonts w:ascii="黑体" w:hAnsi="黑体" w:eastAsia="黑体"/>
          <w:sz w:val="32"/>
          <w:szCs w:val="32"/>
        </w:rPr>
      </w:pPr>
      <w:bookmarkStart w:id="0" w:name="_Toc24028"/>
      <w:bookmarkStart w:id="1" w:name="_Toc32314"/>
      <w:r>
        <w:rPr>
          <w:rFonts w:hint="eastAsia" w:ascii="黑体" w:hAnsi="黑体" w:eastAsia="黑体"/>
          <w:sz w:val="32"/>
          <w:szCs w:val="32"/>
        </w:rPr>
        <w:t>第一部分 单位概况</w:t>
      </w:r>
      <w:bookmarkEnd w:id="0"/>
      <w:bookmarkEnd w:id="1"/>
    </w:p>
    <w:p>
      <w:pPr>
        <w:ind w:firstLine="640" w:firstLineChars="200"/>
        <w:outlineLvl w:val="1"/>
        <w:rPr>
          <w:rFonts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pPr>
        <w:ind w:firstLine="640" w:firstLineChars="200"/>
        <w:jc w:val="left"/>
        <w:rPr>
          <w:rFonts w:ascii="仿宋_GB2312" w:eastAsia="仿宋_GB2312"/>
          <w:sz w:val="32"/>
          <w:szCs w:val="32"/>
        </w:rPr>
      </w:pPr>
      <w:bookmarkStart w:id="4" w:name="_Toc31238"/>
      <w:bookmarkStart w:id="5" w:name="_Toc2151"/>
      <w:r>
        <w:rPr>
          <w:rFonts w:hint="eastAsia" w:ascii="仿宋_GB2312" w:eastAsia="仿宋_GB2312"/>
          <w:sz w:val="32"/>
          <w:szCs w:val="32"/>
        </w:rPr>
        <w:t>新疆畜牧科学院畜牧业经济与信息研究所（新疆维吾尔自治区畜牧科技宣传教育中心）主要工作宗旨是：承担畜牧业政策、经济及产业技术经济、畜牧业科技信息研究；提供畜牧业科技咨询服务工作；承办《草食家畜》期刊（汉、维、哈三种文字）；开展畜牧业科技宣传、教育、培训工作；负责畜牧科学院科技信息化工作。</w:t>
      </w:r>
    </w:p>
    <w:p>
      <w:pPr>
        <w:ind w:firstLine="640" w:firstLineChars="200"/>
        <w:jc w:val="left"/>
        <w:rPr>
          <w:rFonts w:ascii="仿宋_GB2312" w:eastAsia="仿宋_GB2312"/>
          <w:sz w:val="32"/>
          <w:szCs w:val="32"/>
        </w:rPr>
      </w:pPr>
      <w:r>
        <w:rPr>
          <w:rFonts w:hint="eastAsia" w:ascii="仿宋_GB2312" w:eastAsia="仿宋_GB2312"/>
          <w:sz w:val="32"/>
          <w:szCs w:val="32"/>
        </w:rPr>
        <w:t>经信所下设五个部门：行政办公室、畜牧业经济研究室、信息技术研究室、期刊编辑室和宣传教育中心。</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jc w:val="left"/>
        <w:rPr>
          <w:rFonts w:ascii="仿宋_GB2312" w:hAnsi="仿宋_GB2312" w:eastAsia="仿宋_GB2312" w:cs="仿宋_GB2312"/>
          <w:b/>
          <w:sz w:val="32"/>
          <w:szCs w:val="32"/>
        </w:rPr>
      </w:pPr>
      <w:r>
        <w:rPr>
          <w:rFonts w:hint="eastAsia" w:ascii="仿宋_GB2312" w:eastAsia="仿宋_GB2312"/>
          <w:sz w:val="32"/>
          <w:szCs w:val="32"/>
        </w:rPr>
        <w:t>新疆畜牧科学院畜牧业经济与信息研究所（新疆维吾尔自治区畜牧科技宣传教育中心）2023年度，实有人数</w:t>
      </w:r>
      <w:r>
        <w:rPr>
          <w:rFonts w:hint="eastAsia" w:ascii="仿宋_GB2312" w:eastAsia="仿宋_GB2312"/>
          <w:sz w:val="32"/>
          <w:szCs w:val="32"/>
          <w:lang w:val="zh-CN"/>
        </w:rPr>
        <w:t>62</w:t>
      </w:r>
      <w:r>
        <w:rPr>
          <w:rFonts w:hint="eastAsia" w:ascii="仿宋_GB2312" w:eastAsia="仿宋_GB2312"/>
          <w:sz w:val="32"/>
          <w:szCs w:val="32"/>
        </w:rPr>
        <w:t>人，其中：在职人员</w:t>
      </w:r>
      <w:r>
        <w:rPr>
          <w:rFonts w:hint="eastAsia" w:ascii="仿宋_GB2312" w:eastAsia="仿宋_GB2312"/>
          <w:sz w:val="32"/>
          <w:szCs w:val="32"/>
          <w:lang w:val="zh-CN"/>
        </w:rPr>
        <w:t>35</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27</w:t>
      </w:r>
      <w:r>
        <w:rPr>
          <w:rFonts w:hint="eastAsia" w:ascii="仿宋_GB2312" w:eastAsia="仿宋_GB2312"/>
          <w:sz w:val="32"/>
          <w:szCs w:val="32"/>
        </w:rPr>
        <w:t>人。</w:t>
      </w:r>
    </w:p>
    <w:p>
      <w:pPr>
        <w:ind w:firstLine="640" w:firstLineChars="200"/>
        <w:jc w:val="left"/>
        <w:rPr>
          <w:rFonts w:ascii="仿宋_GB2312" w:eastAsia="仿宋_GB2312"/>
          <w:sz w:val="32"/>
          <w:szCs w:val="32"/>
        </w:rPr>
      </w:pPr>
      <w:bookmarkStart w:id="6" w:name="_Toc29374"/>
      <w:bookmarkStart w:id="7" w:name="_Toc3092"/>
      <w:r>
        <w:rPr>
          <w:rFonts w:hint="eastAsia" w:ascii="仿宋_GB2312" w:eastAsia="仿宋_GB2312"/>
          <w:sz w:val="32"/>
          <w:szCs w:val="32"/>
        </w:rPr>
        <w:t>单位无下属预算单位，下设五个处室，分别是：办公室、畜牧业经济研究室、信息技术研究室、期刊编辑室、宣传教育中心。</w:t>
      </w:r>
    </w:p>
    <w:p>
      <w:pPr>
        <w:pStyle w:val="2"/>
        <w:ind w:firstLine="600"/>
      </w:pPr>
    </w:p>
    <w:p/>
    <w:p>
      <w:pPr>
        <w:pStyle w:val="2"/>
        <w:ind w:firstLine="600"/>
      </w:pPr>
    </w:p>
    <w:p/>
    <w:p>
      <w:pPr>
        <w:pStyle w:val="2"/>
        <w:ind w:firstLine="600"/>
      </w:pPr>
    </w:p>
    <w:p/>
    <w:p>
      <w:pPr>
        <w:pStyle w:val="2"/>
        <w:ind w:firstLine="600"/>
      </w:pPr>
    </w:p>
    <w:p>
      <w:pPr>
        <w:jc w:val="center"/>
        <w:outlineLvl w:val="0"/>
        <w:rPr>
          <w:rFonts w:ascii="黑体" w:hAnsi="黑体" w:eastAsia="黑体"/>
          <w:sz w:val="32"/>
          <w:szCs w:val="32"/>
        </w:rPr>
      </w:pPr>
      <w:r>
        <w:rPr>
          <w:rFonts w:hint="eastAsia" w:ascii="黑体" w:hAnsi="黑体" w:eastAsia="黑体"/>
          <w:sz w:val="32"/>
          <w:szCs w:val="32"/>
        </w:rPr>
        <w:t>第二部分 部门决算情况说明</w:t>
      </w:r>
      <w:bookmarkEnd w:id="6"/>
      <w:bookmarkEnd w:id="7"/>
    </w:p>
    <w:p>
      <w:pPr>
        <w:ind w:firstLine="640" w:firstLineChars="200"/>
        <w:outlineLvl w:val="1"/>
        <w:rPr>
          <w:rFonts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pPr>
        <w:ind w:firstLine="640" w:firstLineChars="200"/>
        <w:jc w:val="left"/>
        <w:rPr>
          <w:rFonts w:ascii="仿宋_GB2312" w:eastAsia="仿宋_GB2312"/>
          <w:sz w:val="32"/>
          <w:szCs w:val="32"/>
        </w:rPr>
      </w:pPr>
      <w:r>
        <w:rPr>
          <w:rFonts w:hint="eastAsia" w:ascii="仿宋_GB2312" w:eastAsia="仿宋_GB2312"/>
          <w:sz w:val="32"/>
          <w:szCs w:val="32"/>
        </w:rPr>
        <w:t>2023年度收入总计1,398.23万元，其中：本年收入合计1,268.60万元，使用非财政拨款结余0.00万元，年初结转和结余129.63万元。</w:t>
      </w:r>
    </w:p>
    <w:p>
      <w:pPr>
        <w:ind w:firstLine="640" w:firstLineChars="200"/>
        <w:jc w:val="left"/>
        <w:rPr>
          <w:rFonts w:ascii="仿宋_GB2312" w:eastAsia="仿宋_GB2312"/>
          <w:sz w:val="32"/>
          <w:szCs w:val="32"/>
        </w:rPr>
      </w:pPr>
      <w:r>
        <w:rPr>
          <w:rFonts w:hint="eastAsia" w:ascii="仿宋_GB2312" w:eastAsia="仿宋_GB2312"/>
          <w:sz w:val="32"/>
          <w:szCs w:val="32"/>
        </w:rPr>
        <w:t>2023年度支出总计1,398.23万元，其中：本年支出合计1,229.82万元，结余分配133.52万元，年末结转和结余34.90万元。</w:t>
      </w:r>
    </w:p>
    <w:p>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增加90.01万元</w:t>
      </w:r>
      <w:r>
        <w:rPr>
          <w:rFonts w:hint="eastAsia" w:ascii="仿宋_GB2312" w:eastAsia="仿宋_GB2312"/>
          <w:sz w:val="32"/>
          <w:szCs w:val="32"/>
        </w:rPr>
        <w:t>，增长6.88%，主要原因是：财政拨款较上年增加，主要原因在于职工工资普调及全年职工绩效分摊至每月工资，使得公共预算财政补助项目经费较上年有所增加；事业收入增加，主要原因是：2023年新增项目，因此当年事业收入增加。</w:t>
      </w:r>
    </w:p>
    <w:p>
      <w:pPr>
        <w:ind w:firstLine="640" w:firstLineChars="200"/>
        <w:jc w:val="left"/>
        <w:outlineLvl w:val="1"/>
        <w:rPr>
          <w:rFonts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pPr>
        <w:ind w:firstLine="640" w:firstLineChars="200"/>
        <w:jc w:val="left"/>
        <w:rPr>
          <w:rFonts w:ascii="仿宋_GB2312" w:eastAsia="仿宋_GB2312"/>
          <w:sz w:val="32"/>
          <w:szCs w:val="32"/>
        </w:rPr>
      </w:pPr>
      <w:r>
        <w:rPr>
          <w:rFonts w:hint="eastAsia" w:ascii="仿宋_GB2312" w:eastAsia="仿宋_GB2312"/>
          <w:sz w:val="32"/>
          <w:szCs w:val="32"/>
        </w:rPr>
        <w:t>本年收入1,268.60万元，其中：财政拨款收入</w:t>
      </w:r>
      <w:r>
        <w:rPr>
          <w:rFonts w:hint="eastAsia" w:ascii="仿宋_GB2312" w:eastAsia="仿宋_GB2312"/>
          <w:sz w:val="32"/>
          <w:szCs w:val="32"/>
          <w:lang w:val="zh-CN"/>
        </w:rPr>
        <w:t>1,018.53</w:t>
      </w:r>
      <w:r>
        <w:rPr>
          <w:rFonts w:hint="eastAsia" w:ascii="仿宋_GB2312" w:eastAsia="仿宋_GB2312"/>
          <w:sz w:val="32"/>
          <w:szCs w:val="32"/>
        </w:rPr>
        <w:t>万元，占</w:t>
      </w:r>
      <w:r>
        <w:rPr>
          <w:rFonts w:hint="eastAsia" w:ascii="仿宋_GB2312" w:eastAsia="仿宋_GB2312"/>
          <w:sz w:val="32"/>
          <w:szCs w:val="32"/>
          <w:lang w:val="zh-CN"/>
        </w:rPr>
        <w:t>80.29</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210.92</w:t>
      </w:r>
      <w:r>
        <w:rPr>
          <w:rFonts w:hint="eastAsia" w:ascii="仿宋_GB2312" w:eastAsia="仿宋_GB2312"/>
          <w:sz w:val="32"/>
          <w:szCs w:val="32"/>
        </w:rPr>
        <w:t>万元，占</w:t>
      </w:r>
      <w:r>
        <w:rPr>
          <w:rFonts w:hint="eastAsia" w:ascii="仿宋_GB2312" w:eastAsia="仿宋_GB2312"/>
          <w:sz w:val="32"/>
          <w:szCs w:val="32"/>
          <w:lang w:val="zh-CN"/>
        </w:rPr>
        <w:t>16.63</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39.15</w:t>
      </w:r>
      <w:r>
        <w:rPr>
          <w:rFonts w:hint="eastAsia" w:ascii="仿宋_GB2312" w:eastAsia="仿宋_GB2312"/>
          <w:sz w:val="32"/>
          <w:szCs w:val="32"/>
        </w:rPr>
        <w:t>万元，占</w:t>
      </w:r>
      <w:r>
        <w:rPr>
          <w:rFonts w:hint="eastAsia" w:ascii="仿宋_GB2312" w:eastAsia="仿宋_GB2312"/>
          <w:sz w:val="32"/>
          <w:szCs w:val="32"/>
          <w:lang w:val="zh-CN"/>
        </w:rPr>
        <w:t>3.09</w:t>
      </w:r>
      <w:r>
        <w:rPr>
          <w:rFonts w:hint="eastAsia" w:ascii="仿宋_GB2312" w:eastAsia="仿宋_GB2312"/>
          <w:sz w:val="32"/>
          <w:szCs w:val="32"/>
        </w:rPr>
        <w:t>%。</w:t>
      </w:r>
    </w:p>
    <w:p>
      <w:pPr>
        <w:ind w:firstLine="640" w:firstLineChars="200"/>
        <w:jc w:val="left"/>
        <w:outlineLvl w:val="1"/>
        <w:rPr>
          <w:rFonts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pPr>
        <w:ind w:firstLine="640" w:firstLineChars="200"/>
        <w:jc w:val="left"/>
        <w:rPr>
          <w:rFonts w:eastAsia="仿宋_GB2312" w:cs="仿宋_GB2312"/>
          <w:sz w:val="30"/>
          <w:szCs w:val="30"/>
          <w:lang w:val="zh-CN"/>
        </w:rPr>
      </w:pPr>
      <w:r>
        <w:rPr>
          <w:rFonts w:hint="eastAsia" w:eastAsia="仿宋_GB2312" w:cs="仿宋_GB2312"/>
          <w:sz w:val="32"/>
          <w:szCs w:val="32"/>
          <w:lang w:val="zh-CN"/>
        </w:rPr>
        <w:t>本年支出1,229.82万元，其中：基本支出943.52万元，占76.72%；项目支出286.30万元，占23.28%；上缴上级支出0.00万元，占0.00%；经营支出0.00万元，占0.00%；对附属单位补助支出0.00万元，占0.00%。</w:t>
      </w:r>
    </w:p>
    <w:p>
      <w:pPr>
        <w:ind w:firstLine="640" w:firstLineChars="200"/>
        <w:jc w:val="left"/>
        <w:outlineLvl w:val="1"/>
        <w:rPr>
          <w:rFonts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1,023.13</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4.61</w:t>
      </w:r>
      <w:r>
        <w:rPr>
          <w:rFonts w:hint="eastAsia" w:ascii="仿宋_GB2312" w:eastAsia="仿宋_GB2312"/>
          <w:sz w:val="32"/>
          <w:szCs w:val="32"/>
        </w:rPr>
        <w:t>万元，本年财政拨款收入</w:t>
      </w:r>
      <w:r>
        <w:rPr>
          <w:rFonts w:hint="eastAsia" w:ascii="仿宋_GB2312" w:eastAsia="仿宋_GB2312"/>
          <w:sz w:val="32"/>
          <w:szCs w:val="32"/>
          <w:lang w:val="zh-CN"/>
        </w:rPr>
        <w:t>1,018.53</w:t>
      </w:r>
      <w:r>
        <w:rPr>
          <w:rFonts w:hint="eastAsia" w:ascii="仿宋_GB2312" w:eastAsia="仿宋_GB2312"/>
          <w:sz w:val="32"/>
          <w:szCs w:val="32"/>
        </w:rPr>
        <w:t>万元。财政拨款支出总计</w:t>
      </w:r>
      <w:r>
        <w:rPr>
          <w:rFonts w:hint="eastAsia" w:ascii="仿宋_GB2312" w:eastAsia="仿宋_GB2312"/>
          <w:sz w:val="32"/>
          <w:szCs w:val="32"/>
          <w:lang w:val="zh-CN"/>
        </w:rPr>
        <w:t>1,023.13</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万元，本年财政拨款支出</w:t>
      </w:r>
      <w:r>
        <w:rPr>
          <w:rFonts w:hint="eastAsia" w:ascii="仿宋_GB2312" w:eastAsia="仿宋_GB2312"/>
          <w:sz w:val="32"/>
          <w:szCs w:val="32"/>
          <w:lang w:val="zh-CN"/>
        </w:rPr>
        <w:t>1,023.13</w:t>
      </w:r>
      <w:r>
        <w:rPr>
          <w:rFonts w:hint="eastAsia" w:ascii="仿宋_GB2312" w:eastAsia="仿宋_GB2312"/>
          <w:sz w:val="32"/>
          <w:szCs w:val="32"/>
        </w:rPr>
        <w:t>万元。</w:t>
      </w:r>
    </w:p>
    <w:p>
      <w:pPr>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增加13.64万元</w:t>
      </w:r>
      <w:r>
        <w:rPr>
          <w:rFonts w:hint="eastAsia" w:ascii="仿宋_GB2312" w:eastAsia="仿宋_GB2312"/>
          <w:sz w:val="32"/>
          <w:szCs w:val="32"/>
        </w:rPr>
        <w:t>，增长1.35%,主要原因是：职工工资普调以及公共预算财政补助项目经费较上年有所增加。与年初预算相比，年初预算数</w:t>
      </w:r>
      <w:r>
        <w:rPr>
          <w:rFonts w:hint="eastAsia" w:ascii="仿宋_GB2312" w:eastAsia="仿宋_GB2312"/>
          <w:sz w:val="32"/>
          <w:szCs w:val="32"/>
          <w:lang w:val="zh-CN"/>
        </w:rPr>
        <w:t>881.99</w:t>
      </w:r>
      <w:r>
        <w:rPr>
          <w:rFonts w:hint="eastAsia" w:ascii="仿宋_GB2312" w:eastAsia="仿宋_GB2312"/>
          <w:sz w:val="32"/>
          <w:szCs w:val="32"/>
        </w:rPr>
        <w:t>万元，决算数</w:t>
      </w:r>
      <w:r>
        <w:rPr>
          <w:rFonts w:hint="eastAsia" w:ascii="仿宋_GB2312" w:eastAsia="仿宋_GB2312"/>
          <w:sz w:val="32"/>
          <w:szCs w:val="32"/>
          <w:lang w:val="zh-CN"/>
        </w:rPr>
        <w:t>1,023.13</w:t>
      </w:r>
      <w:r>
        <w:rPr>
          <w:rFonts w:hint="eastAsia" w:ascii="仿宋_GB2312" w:eastAsia="仿宋_GB2312"/>
          <w:sz w:val="32"/>
          <w:szCs w:val="32"/>
        </w:rPr>
        <w:t xml:space="preserve">万元，预决算差异率16.00%，主要原因是：增加了绩效考核工资、病故人员丧葬费和抚恤 </w:t>
      </w:r>
    </w:p>
    <w:p>
      <w:pPr>
        <w:jc w:val="left"/>
        <w:rPr>
          <w:rFonts w:ascii="仿宋_GB2312" w:eastAsia="仿宋_GB2312"/>
          <w:sz w:val="32"/>
          <w:szCs w:val="32"/>
        </w:rPr>
      </w:pPr>
      <w:r>
        <w:rPr>
          <w:rFonts w:hint="eastAsia" w:ascii="仿宋_GB2312" w:eastAsia="仿宋_GB2312"/>
          <w:sz w:val="32"/>
          <w:szCs w:val="32"/>
        </w:rPr>
        <w:t>金等专项经费。</w:t>
      </w:r>
    </w:p>
    <w:p>
      <w:pPr>
        <w:ind w:firstLine="640" w:firstLineChars="200"/>
        <w:jc w:val="left"/>
        <w:outlineLvl w:val="1"/>
        <w:rPr>
          <w:rFonts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jc w:val="left"/>
        <w:outlineLvl w:val="2"/>
        <w:rPr>
          <w:rFonts w:ascii="黑体" w:hAnsi="黑体" w:eastAsia="黑体"/>
          <w:sz w:val="32"/>
          <w:szCs w:val="32"/>
        </w:rPr>
      </w:pPr>
      <w:r>
        <w:rPr>
          <w:rFonts w:hint="eastAsia" w:ascii="黑体" w:hAnsi="黑体" w:eastAsia="黑体"/>
          <w:sz w:val="32"/>
          <w:szCs w:val="32"/>
        </w:rPr>
        <w:t>（一）一般公共预算财政拨款支出决算总体情况</w:t>
      </w:r>
    </w:p>
    <w:p>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2023年度一般公共预算财政拨款支出1,023.13万元，占本年支出合计的</w:t>
      </w:r>
      <w:r>
        <w:rPr>
          <w:rFonts w:hint="eastAsia" w:ascii="仿宋_GB2312" w:eastAsia="仿宋_GB2312"/>
          <w:sz w:val="32"/>
          <w:szCs w:val="32"/>
          <w:lang w:val="zh-CN"/>
        </w:rPr>
        <w:t>83.19%</w:t>
      </w:r>
      <w:r>
        <w:rPr>
          <w:rFonts w:hint="eastAsia" w:ascii="仿宋_GB2312" w:eastAsia="仿宋_GB2312"/>
          <w:sz w:val="32"/>
          <w:szCs w:val="32"/>
        </w:rPr>
        <w:t>。与上年相比，</w:t>
      </w:r>
      <w:r>
        <w:rPr>
          <w:rFonts w:hint="eastAsia" w:ascii="仿宋_GB2312" w:eastAsia="仿宋_GB2312"/>
          <w:sz w:val="32"/>
          <w:szCs w:val="32"/>
          <w:lang w:val="zh-CN"/>
        </w:rPr>
        <w:t>增加18.25万元</w:t>
      </w:r>
      <w:r>
        <w:rPr>
          <w:rFonts w:hint="eastAsia" w:ascii="仿宋_GB2312" w:eastAsia="仿宋_GB2312"/>
          <w:sz w:val="32"/>
          <w:szCs w:val="32"/>
        </w:rPr>
        <w:t>，增长1.82%,主要原因是：2023年有新入职人员。与年初预算相比，年初预算数</w:t>
      </w:r>
      <w:r>
        <w:rPr>
          <w:rFonts w:hint="eastAsia" w:ascii="仿宋_GB2312" w:eastAsia="仿宋_GB2312"/>
          <w:sz w:val="32"/>
          <w:szCs w:val="32"/>
          <w:lang w:val="zh-CN"/>
        </w:rPr>
        <w:t>881.99</w:t>
      </w:r>
      <w:r>
        <w:rPr>
          <w:rFonts w:hint="eastAsia" w:ascii="仿宋_GB2312" w:eastAsia="仿宋_GB2312"/>
          <w:sz w:val="32"/>
          <w:szCs w:val="32"/>
        </w:rPr>
        <w:t>万元，决算数</w:t>
      </w:r>
      <w:r>
        <w:rPr>
          <w:rFonts w:hint="eastAsia" w:ascii="仿宋_GB2312" w:eastAsia="仿宋_GB2312"/>
          <w:sz w:val="32"/>
          <w:szCs w:val="32"/>
          <w:lang w:val="zh-CN"/>
        </w:rPr>
        <w:t>1,023.13</w:t>
      </w:r>
      <w:r>
        <w:rPr>
          <w:rFonts w:hint="eastAsia" w:ascii="仿宋_GB2312" w:eastAsia="仿宋_GB2312"/>
          <w:sz w:val="32"/>
          <w:szCs w:val="32"/>
        </w:rPr>
        <w:t>万元，预决算差异率</w:t>
      </w:r>
      <w:r>
        <w:rPr>
          <w:rFonts w:hint="eastAsia" w:ascii="仿宋_GB2312" w:eastAsia="仿宋_GB2312"/>
          <w:sz w:val="32"/>
          <w:szCs w:val="32"/>
          <w:lang w:val="zh-CN"/>
        </w:rPr>
        <w:t>16.00%</w:t>
      </w:r>
      <w:r>
        <w:rPr>
          <w:rFonts w:hint="eastAsia" w:ascii="仿宋_GB2312" w:eastAsia="仿宋_GB2312"/>
          <w:sz w:val="32"/>
          <w:szCs w:val="32"/>
        </w:rPr>
        <w:t>，主要原因是：科研经费会随着国家新出台的政策导向，不定期取得项目经费。</w:t>
      </w:r>
    </w:p>
    <w:p>
      <w:pPr>
        <w:numPr>
          <w:ilvl w:val="0"/>
          <w:numId w:val="1"/>
        </w:numPr>
        <w:ind w:firstLine="640" w:firstLineChars="200"/>
        <w:jc w:val="left"/>
        <w:outlineLvl w:val="2"/>
        <w:rPr>
          <w:rFonts w:ascii="黑体" w:hAnsi="黑体" w:eastAsia="黑体"/>
          <w:sz w:val="32"/>
          <w:szCs w:val="32"/>
        </w:rPr>
      </w:pPr>
      <w:r>
        <w:rPr>
          <w:rFonts w:hint="eastAsia" w:ascii="黑体" w:hAnsi="黑体" w:eastAsia="黑体"/>
          <w:sz w:val="32"/>
          <w:szCs w:val="32"/>
        </w:rPr>
        <w:t>一般公共预算财政拨款支出决算结构情况</w:t>
      </w:r>
    </w:p>
    <w:p>
      <w:pPr>
        <w:pStyle w:val="11"/>
        <w:widowControl/>
        <w:spacing w:before="0" w:beforeAutospacing="0" w:after="0" w:afterAutospacing="0"/>
        <w:ind w:firstLine="640" w:firstLineChars="200"/>
        <w:rPr>
          <w:rFonts w:ascii="仿宋_GB2312" w:eastAsia="仿宋_GB2312"/>
          <w:kern w:val="2"/>
          <w:sz w:val="32"/>
          <w:szCs w:val="32"/>
        </w:rPr>
      </w:pPr>
      <w:r>
        <w:rPr>
          <w:rFonts w:hint="eastAsia" w:ascii="仿宋_GB2312" w:eastAsia="仿宋_GB2312"/>
          <w:kern w:val="2"/>
          <w:sz w:val="32"/>
          <w:szCs w:val="32"/>
        </w:rPr>
        <w:t>1</w:t>
      </w:r>
      <w:r>
        <w:rPr>
          <w:rFonts w:ascii="仿宋_GB2312" w:eastAsia="仿宋_GB2312"/>
          <w:kern w:val="2"/>
          <w:sz w:val="32"/>
          <w:szCs w:val="32"/>
        </w:rPr>
        <w:t>.</w:t>
      </w:r>
      <w:r>
        <w:rPr>
          <w:rFonts w:ascii="仿宋_GB2312" w:eastAsia="仿宋_GB2312"/>
          <w:kern w:val="2"/>
          <w:sz w:val="32"/>
          <w:szCs w:val="32"/>
          <w:lang w:val="zh-CN"/>
        </w:rPr>
        <w:t>科学技术支出（类）</w:t>
      </w:r>
      <w:r>
        <w:rPr>
          <w:rFonts w:hint="eastAsia" w:ascii="仿宋_GB2312" w:eastAsia="仿宋_GB2312"/>
          <w:kern w:val="2"/>
          <w:sz w:val="32"/>
          <w:szCs w:val="32"/>
          <w:lang w:val="zh-CN"/>
        </w:rPr>
        <w:t>998.13</w:t>
      </w:r>
      <w:r>
        <w:rPr>
          <w:rFonts w:ascii="仿宋_GB2312" w:eastAsia="仿宋_GB2312"/>
          <w:kern w:val="2"/>
          <w:sz w:val="32"/>
          <w:szCs w:val="32"/>
          <w:lang w:val="zh-CN"/>
        </w:rPr>
        <w:t>万元，占</w:t>
      </w:r>
      <w:r>
        <w:rPr>
          <w:rFonts w:hint="eastAsia" w:ascii="仿宋_GB2312" w:eastAsia="仿宋_GB2312"/>
          <w:kern w:val="2"/>
          <w:sz w:val="32"/>
          <w:szCs w:val="32"/>
          <w:lang w:val="zh-CN"/>
        </w:rPr>
        <w:t>97.56</w:t>
      </w:r>
      <w:r>
        <w:rPr>
          <w:rFonts w:ascii="仿宋_GB2312" w:eastAsia="仿宋_GB2312"/>
          <w:kern w:val="2"/>
          <w:sz w:val="32"/>
          <w:szCs w:val="32"/>
        </w:rPr>
        <w:t>%；</w:t>
      </w:r>
    </w:p>
    <w:p>
      <w:pPr>
        <w:pStyle w:val="11"/>
        <w:widowControl/>
        <w:spacing w:before="0" w:beforeAutospacing="0" w:after="0" w:afterAutospacing="0"/>
        <w:ind w:firstLine="640" w:firstLineChars="200"/>
        <w:rPr>
          <w:rFonts w:ascii="仿宋_GB2312" w:eastAsia="仿宋_GB2312"/>
          <w:kern w:val="2"/>
          <w:sz w:val="32"/>
          <w:szCs w:val="32"/>
          <w:lang w:val="zh-CN"/>
        </w:rPr>
      </w:pPr>
      <w:r>
        <w:rPr>
          <w:rFonts w:ascii="仿宋_GB2312" w:eastAsia="仿宋_GB2312"/>
          <w:kern w:val="2"/>
          <w:sz w:val="32"/>
          <w:szCs w:val="32"/>
          <w:lang w:val="zh-CN"/>
        </w:rPr>
        <w:t>2.农林水支出（类）</w:t>
      </w:r>
      <w:r>
        <w:rPr>
          <w:rFonts w:hint="eastAsia" w:ascii="仿宋_GB2312" w:eastAsia="仿宋_GB2312"/>
          <w:kern w:val="2"/>
          <w:sz w:val="32"/>
          <w:szCs w:val="32"/>
          <w:lang w:val="zh-CN"/>
        </w:rPr>
        <w:t>25.00</w:t>
      </w:r>
      <w:r>
        <w:rPr>
          <w:rFonts w:ascii="仿宋_GB2312" w:eastAsia="仿宋_GB2312"/>
          <w:kern w:val="2"/>
          <w:sz w:val="32"/>
          <w:szCs w:val="32"/>
          <w:lang w:val="zh-CN"/>
        </w:rPr>
        <w:t>万元，占</w:t>
      </w:r>
      <w:r>
        <w:rPr>
          <w:rFonts w:hint="eastAsia" w:ascii="仿宋_GB2312" w:eastAsia="仿宋_GB2312"/>
          <w:kern w:val="2"/>
          <w:sz w:val="32"/>
          <w:szCs w:val="32"/>
          <w:lang w:val="zh-CN"/>
        </w:rPr>
        <w:t>2.44</w:t>
      </w:r>
      <w:r>
        <w:rPr>
          <w:rFonts w:ascii="仿宋_GB2312" w:eastAsia="仿宋_GB2312"/>
          <w:kern w:val="2"/>
          <w:sz w:val="32"/>
          <w:szCs w:val="32"/>
          <w:lang w:val="zh-CN"/>
        </w:rPr>
        <w:t>%；</w:t>
      </w:r>
    </w:p>
    <w:p>
      <w:pPr>
        <w:ind w:firstLine="640" w:firstLineChars="200"/>
        <w:jc w:val="left"/>
        <w:outlineLvl w:val="2"/>
        <w:rPr>
          <w:rFonts w:ascii="黑体" w:hAnsi="黑体" w:eastAsia="黑体"/>
          <w:sz w:val="32"/>
          <w:szCs w:val="32"/>
        </w:rPr>
      </w:pPr>
      <w:r>
        <w:rPr>
          <w:rFonts w:hint="eastAsia" w:ascii="黑体" w:hAnsi="黑体" w:eastAsia="黑体"/>
          <w:sz w:val="32"/>
          <w:szCs w:val="32"/>
        </w:rPr>
        <w:t>（三）一般公共预算财政拨款支出决算具体情况</w:t>
      </w:r>
    </w:p>
    <w:p>
      <w:pPr>
        <w:ind w:firstLine="640" w:firstLineChars="200"/>
        <w:jc w:val="left"/>
        <w:rPr>
          <w:rFonts w:ascii="仿宋_GB2312" w:eastAsia="仿宋_GB2312"/>
          <w:sz w:val="32"/>
          <w:szCs w:val="32"/>
          <w:lang w:val="zh-CN"/>
        </w:rPr>
      </w:pPr>
      <w:r>
        <w:rPr>
          <w:rFonts w:hint="eastAsia" w:ascii="仿宋_GB2312" w:eastAsia="仿宋_GB2312"/>
          <w:sz w:val="32"/>
          <w:szCs w:val="32"/>
        </w:rPr>
        <w:t>1.科学技术支出（类）应用研究（款）社会公益研究（项）:支出决算数为19.00万元，比上年决算增加0.00万元，增长0.00%，主要原因是：我单位科学技术支出(类)应用研究(款)社会公益研究(项)项目持续稳定开展。</w:t>
      </w:r>
    </w:p>
    <w:p>
      <w:pPr>
        <w:ind w:firstLine="640" w:firstLineChars="200"/>
        <w:jc w:val="left"/>
        <w:rPr>
          <w:rFonts w:ascii="仿宋_GB2312" w:eastAsia="仿宋_GB2312"/>
          <w:sz w:val="32"/>
          <w:szCs w:val="32"/>
          <w:lang w:val="zh-CN"/>
        </w:rPr>
      </w:pPr>
      <w:r>
        <w:rPr>
          <w:rFonts w:hint="eastAsia" w:ascii="仿宋_GB2312" w:eastAsia="仿宋_GB2312"/>
          <w:sz w:val="32"/>
          <w:szCs w:val="32"/>
        </w:rPr>
        <w:t>2.科学技术支出（类）科技条件与服务（款）其他科技条件与服务支出（项）:支出决算数为10.61万元，比上年决算增加10.61万元，增长100%，主要原因是：此项目为2023年新增项目“三区”科技人才支持计划</w:t>
      </w:r>
      <w:r>
        <w:rPr>
          <w:rFonts w:hint="eastAsia" w:ascii="仿宋_GB2312" w:eastAsia="仿宋_GB2312"/>
          <w:sz w:val="32"/>
          <w:szCs w:val="32"/>
          <w:lang w:val="zh-CN"/>
        </w:rPr>
        <w:t>。</w:t>
      </w:r>
    </w:p>
    <w:p>
      <w:pPr>
        <w:ind w:firstLine="640" w:firstLineChars="200"/>
        <w:jc w:val="left"/>
        <w:rPr>
          <w:rFonts w:ascii="仿宋_GB2312" w:eastAsia="仿宋_GB2312"/>
          <w:sz w:val="32"/>
          <w:szCs w:val="32"/>
          <w:lang w:val="zh-CN"/>
        </w:rPr>
      </w:pPr>
      <w:r>
        <w:rPr>
          <w:rFonts w:hint="eastAsia" w:ascii="仿宋_GB2312" w:eastAsia="仿宋_GB2312"/>
          <w:sz w:val="32"/>
          <w:szCs w:val="32"/>
        </w:rPr>
        <w:t>3.科学技术支出（类）应用研究（款）机构运行（项）:支出决算数为943.52万元，比上年决算增加2.64万元，增长0.28%，主要原因是：我单位机构运行资金当年核定的职工工资等资金较上年增加。</w:t>
      </w:r>
    </w:p>
    <w:p>
      <w:pPr>
        <w:ind w:firstLine="640" w:firstLineChars="200"/>
        <w:jc w:val="left"/>
        <w:rPr>
          <w:rFonts w:ascii="仿宋_GB2312" w:eastAsia="仿宋_GB2312"/>
          <w:sz w:val="32"/>
          <w:szCs w:val="32"/>
          <w:lang w:val="zh-CN"/>
        </w:rPr>
      </w:pPr>
      <w:r>
        <w:rPr>
          <w:rFonts w:hint="eastAsia" w:ascii="仿宋_GB2312" w:eastAsia="仿宋_GB2312"/>
          <w:sz w:val="32"/>
          <w:szCs w:val="32"/>
        </w:rPr>
        <w:t>4.科学技术支出（类）基础研究（款）科技人才队伍建设（项）:支出决算数为25.00万元，比上年决算增加25.00万元，增长100%，主要原因是：2023年新增科技人才队伍建设项目</w:t>
      </w:r>
      <w:r>
        <w:rPr>
          <w:rFonts w:hint="eastAsia" w:ascii="仿宋_GB2312" w:eastAsia="仿宋_GB2312"/>
          <w:sz w:val="32"/>
          <w:szCs w:val="32"/>
          <w:lang w:val="zh-CN"/>
        </w:rPr>
        <w:t>。</w:t>
      </w:r>
    </w:p>
    <w:p>
      <w:pPr>
        <w:ind w:firstLine="640" w:firstLineChars="200"/>
        <w:jc w:val="left"/>
        <w:rPr>
          <w:rFonts w:ascii="仿宋_GB2312" w:eastAsia="仿宋_GB2312"/>
          <w:sz w:val="32"/>
          <w:szCs w:val="32"/>
          <w:lang w:val="zh-CN"/>
        </w:rPr>
      </w:pPr>
      <w:r>
        <w:rPr>
          <w:rFonts w:hint="eastAsia" w:ascii="仿宋_GB2312" w:eastAsia="仿宋_GB2312"/>
          <w:sz w:val="32"/>
          <w:szCs w:val="32"/>
        </w:rPr>
        <w:t>5.农林水支出（类）农业农村（款）农业生产发展（项）:支出决算数为25.00万元，比上年决算增加10.00万元，增长66.67%，主要原因是：2023年度增加农业生产发展项目经费</w:t>
      </w:r>
      <w:r>
        <w:rPr>
          <w:rFonts w:hint="eastAsia" w:ascii="仿宋_GB2312" w:eastAsia="仿宋_GB2312"/>
          <w:sz w:val="32"/>
          <w:szCs w:val="32"/>
          <w:lang w:val="zh-CN"/>
        </w:rPr>
        <w:t>。</w:t>
      </w:r>
    </w:p>
    <w:p>
      <w:pPr>
        <w:ind w:firstLine="640" w:firstLineChars="200"/>
        <w:jc w:val="left"/>
        <w:rPr>
          <w:rFonts w:ascii="仿宋_GB2312" w:eastAsia="仿宋_GB2312"/>
          <w:sz w:val="32"/>
          <w:szCs w:val="32"/>
          <w:lang w:val="zh-CN"/>
        </w:rPr>
      </w:pPr>
      <w:r>
        <w:rPr>
          <w:rFonts w:hint="eastAsia" w:ascii="仿宋_GB2312" w:eastAsia="仿宋_GB2312"/>
          <w:sz w:val="32"/>
          <w:szCs w:val="32"/>
        </w:rPr>
        <w:t>6.农林水支出（类）农业农村（款）病虫害控制（项）:支出决算数为0.00万元，比上年决算减少30.00万元，下降100%，主要原因是：2023年度</w:t>
      </w:r>
      <w:r>
        <w:rPr>
          <w:rFonts w:ascii="仿宋_GB2312" w:eastAsia="仿宋_GB2312"/>
          <w:sz w:val="32"/>
          <w:szCs w:val="32"/>
        </w:rPr>
        <w:t>未安排</w:t>
      </w:r>
      <w:r>
        <w:rPr>
          <w:rFonts w:hint="eastAsia" w:ascii="仿宋_GB2312" w:eastAsia="仿宋_GB2312"/>
          <w:sz w:val="32"/>
          <w:szCs w:val="32"/>
        </w:rPr>
        <w:t>病虫害控制项目</w:t>
      </w:r>
      <w:r>
        <w:rPr>
          <w:rFonts w:hint="eastAsia" w:ascii="仿宋_GB2312" w:eastAsia="仿宋_GB2312"/>
          <w:sz w:val="32"/>
          <w:szCs w:val="32"/>
          <w:lang w:val="zh-CN"/>
        </w:rPr>
        <w:t>。</w:t>
      </w:r>
    </w:p>
    <w:p>
      <w:pPr>
        <w:ind w:firstLine="640" w:firstLineChars="200"/>
        <w:jc w:val="left"/>
        <w:outlineLvl w:val="1"/>
        <w:rPr>
          <w:rFonts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943.52万元，其中：人员经费884.87万元，包括：基本工资、津贴补贴、奖金、绩效工资、机关事业单位基本养老保险缴费、职业年金缴费、职工基本医疗保险缴费、公务员医疗补助缴费、其他社会保障缴费、住房公积金、退休费、抚恤金、奖励金、其他对个人和家庭的补助。</w:t>
      </w:r>
    </w:p>
    <w:p>
      <w:pPr>
        <w:ind w:firstLine="640" w:firstLineChars="200"/>
        <w:jc w:val="left"/>
        <w:rPr>
          <w:rFonts w:ascii="仿宋_GB2312" w:eastAsia="仿宋_GB2312"/>
          <w:sz w:val="32"/>
          <w:szCs w:val="32"/>
        </w:rPr>
      </w:pPr>
      <w:r>
        <w:rPr>
          <w:rFonts w:hint="eastAsia" w:ascii="仿宋_GB2312" w:eastAsia="仿宋_GB2312"/>
          <w:sz w:val="32"/>
          <w:szCs w:val="32"/>
        </w:rPr>
        <w:t>公用经费58.65万元，包括：办公费、水费、电费、邮电费、取暖费、物业管理费、差旅费、工会经费、福利费、公务用车运行维护费、其他交通费用、其他商品和服务支出。</w:t>
      </w:r>
    </w:p>
    <w:p>
      <w:pPr>
        <w:ind w:firstLine="640" w:firstLineChars="200"/>
        <w:jc w:val="left"/>
        <w:outlineLvl w:val="1"/>
        <w:rPr>
          <w:rFonts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“三公”经费支出1.90万元，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w:t>
      </w:r>
      <w:r>
        <w:rPr>
          <w:rFonts w:hint="eastAsia" w:ascii="仿宋_GB2312" w:eastAsia="仿宋_GB2312"/>
          <w:sz w:val="32"/>
          <w:szCs w:val="32"/>
        </w:rPr>
        <w:t>我单位严格执行“三公”经费预算，加强公务用车管理，减少公车出行，严格控制“三公”经费支出。</w:t>
      </w:r>
      <w:r>
        <w:rPr>
          <w:rFonts w:hint="eastAsia" w:ascii="仿宋_GB2312" w:eastAsia="仿宋_GB2312"/>
          <w:sz w:val="32"/>
          <w:szCs w:val="32"/>
          <w:lang w:val="zh-CN"/>
        </w:rPr>
        <w:t>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w:t>
      </w:r>
      <w:r>
        <w:rPr>
          <w:rFonts w:hint="eastAsia" w:ascii="仿宋_GB2312" w:eastAsia="仿宋_GB2312"/>
          <w:sz w:val="32"/>
          <w:szCs w:val="32"/>
        </w:rPr>
        <w:t>我单位无</w:t>
      </w:r>
      <w:r>
        <w:rPr>
          <w:rFonts w:hint="eastAsia" w:ascii="仿宋_GB2312" w:eastAsia="仿宋_GB2312"/>
          <w:sz w:val="32"/>
          <w:szCs w:val="32"/>
          <w:lang w:val="zh-CN"/>
        </w:rPr>
        <w:t>因公出国（境）费；公务用车购置及运行维护费支出1.90万元，占100.00%，比上年增加0.00万元，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w:t>
      </w:r>
      <w:r>
        <w:rPr>
          <w:rFonts w:hint="eastAsia" w:ascii="仿宋_GB2312" w:eastAsia="仿宋_GB2312"/>
          <w:sz w:val="32"/>
          <w:szCs w:val="32"/>
        </w:rPr>
        <w:t>我单位严格执行公务用车购置及运行维护费支出经费预算，加强公务用车管理，严格控制</w:t>
      </w:r>
      <w:r>
        <w:rPr>
          <w:rFonts w:ascii="仿宋_GB2312" w:eastAsia="仿宋_GB2312"/>
          <w:sz w:val="32"/>
          <w:szCs w:val="32"/>
        </w:rPr>
        <w:t>“</w:t>
      </w:r>
      <w:r>
        <w:rPr>
          <w:rFonts w:hint="eastAsia" w:ascii="仿宋_GB2312" w:eastAsia="仿宋_GB2312"/>
          <w:sz w:val="32"/>
          <w:szCs w:val="32"/>
        </w:rPr>
        <w:t>三公</w:t>
      </w:r>
      <w:r>
        <w:rPr>
          <w:rFonts w:ascii="仿宋_GB2312" w:eastAsia="仿宋_GB2312"/>
          <w:sz w:val="32"/>
          <w:szCs w:val="32"/>
        </w:rPr>
        <w:t>”</w:t>
      </w:r>
      <w:r>
        <w:rPr>
          <w:rFonts w:hint="eastAsia" w:ascii="仿宋_GB2312" w:eastAsia="仿宋_GB2312"/>
          <w:sz w:val="32"/>
          <w:szCs w:val="32"/>
        </w:rPr>
        <w:t>经费支出</w:t>
      </w:r>
      <w:r>
        <w:rPr>
          <w:rFonts w:hint="eastAsia" w:ascii="仿宋_GB2312" w:eastAsia="仿宋_GB2312"/>
          <w:sz w:val="32"/>
          <w:szCs w:val="32"/>
          <w:lang w:val="zh-CN"/>
        </w:rPr>
        <w:t>；公务接待费支出0.00万元，占0.00%，比上年增加0.00万元，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w:t>
      </w:r>
      <w:r>
        <w:rPr>
          <w:rFonts w:hint="eastAsia" w:ascii="仿宋_GB2312" w:eastAsia="仿宋_GB2312"/>
          <w:sz w:val="32"/>
          <w:szCs w:val="32"/>
        </w:rPr>
        <w:t>未发生公务接待</w:t>
      </w:r>
      <w:r>
        <w:rPr>
          <w:rFonts w:hint="eastAsia" w:ascii="仿宋_GB2312" w:eastAsia="仿宋_GB2312"/>
          <w:sz w:val="32"/>
          <w:szCs w:val="32"/>
          <w:lang w:val="zh-CN"/>
        </w:rPr>
        <w:t>。</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w:t>
      </w:r>
      <w:r>
        <w:rPr>
          <w:rFonts w:hint="eastAsia" w:ascii="仿宋_GB2312" w:eastAsia="仿宋_GB2312"/>
          <w:sz w:val="32"/>
          <w:szCs w:val="32"/>
        </w:rPr>
        <w:t>未发生业务</w:t>
      </w:r>
      <w:r>
        <w:rPr>
          <w:rFonts w:hint="eastAsia" w:ascii="仿宋_GB2312" w:eastAsia="仿宋_GB2312"/>
          <w:sz w:val="32"/>
          <w:szCs w:val="32"/>
          <w:lang w:val="zh-CN"/>
        </w:rPr>
        <w:t>。单位全年安排的因公出国（境）团组0个，因公出国（境）0人次。</w:t>
      </w:r>
    </w:p>
    <w:p>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1.90万元，其中：公务用车购置费0.00万元，公务用车运行维护费1.90万元。公务用车运行维护费开支内容包括燃油费、保险费和车辆维修费。公务用车购置数0辆，公务用车保有量1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1辆，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w:t>
      </w:r>
      <w:r>
        <w:rPr>
          <w:rFonts w:hint="eastAsia" w:ascii="仿宋_GB2312" w:eastAsia="仿宋_GB2312"/>
          <w:sz w:val="32"/>
          <w:szCs w:val="32"/>
          <w:lang w:eastAsia="zh-CN"/>
        </w:rPr>
        <w:t>无差异</w:t>
      </w:r>
      <w:r>
        <w:rPr>
          <w:rFonts w:hint="eastAsia" w:ascii="仿宋_GB2312" w:eastAsia="仿宋_GB2312"/>
          <w:sz w:val="32"/>
          <w:szCs w:val="32"/>
        </w:rPr>
        <w:t>。</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w:t>
      </w:r>
      <w:r>
        <w:rPr>
          <w:rFonts w:hint="eastAsia" w:ascii="仿宋_GB2312" w:eastAsia="仿宋_GB2312"/>
          <w:sz w:val="32"/>
          <w:szCs w:val="32"/>
        </w:rPr>
        <w:t>我单位无</w:t>
      </w:r>
      <w:r>
        <w:rPr>
          <w:rFonts w:ascii="仿宋_GB2312" w:eastAsia="仿宋_GB2312"/>
          <w:sz w:val="32"/>
          <w:szCs w:val="32"/>
        </w:rPr>
        <w:t>公务接待费</w:t>
      </w:r>
      <w:r>
        <w:rPr>
          <w:rFonts w:hint="eastAsia" w:ascii="仿宋_GB2312" w:eastAsia="仿宋_GB2312"/>
          <w:sz w:val="32"/>
          <w:szCs w:val="32"/>
          <w:lang w:val="zh-CN"/>
        </w:rPr>
        <w:t>。单位全年安排的国内公务接待0批次，0人次。</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预算数1.90万元，决算数1.90万元，预决算差异率0.00%，主要原因是：</w:t>
      </w:r>
      <w:r>
        <w:rPr>
          <w:rFonts w:hint="eastAsia" w:ascii="仿宋_GB2312" w:eastAsia="仿宋_GB2312"/>
          <w:sz w:val="32"/>
          <w:szCs w:val="32"/>
        </w:rPr>
        <w:t>我单位严格执行公务用车购置及运行维护费支出经费预算，加强公务用车管理，严格控制</w:t>
      </w:r>
      <w:r>
        <w:rPr>
          <w:rFonts w:ascii="仿宋_GB2312" w:eastAsia="仿宋_GB2312"/>
          <w:sz w:val="32"/>
          <w:szCs w:val="32"/>
        </w:rPr>
        <w:t>“</w:t>
      </w:r>
      <w:r>
        <w:rPr>
          <w:rFonts w:hint="eastAsia" w:ascii="仿宋_GB2312" w:eastAsia="仿宋_GB2312"/>
          <w:sz w:val="32"/>
          <w:szCs w:val="32"/>
        </w:rPr>
        <w:t>三公</w:t>
      </w:r>
      <w:r>
        <w:rPr>
          <w:rFonts w:ascii="仿宋_GB2312" w:eastAsia="仿宋_GB2312"/>
          <w:sz w:val="32"/>
          <w:szCs w:val="32"/>
        </w:rPr>
        <w:t>”</w:t>
      </w:r>
      <w:r>
        <w:rPr>
          <w:rFonts w:hint="eastAsia" w:ascii="仿宋_GB2312" w:eastAsia="仿宋_GB2312"/>
          <w:sz w:val="32"/>
          <w:szCs w:val="32"/>
        </w:rPr>
        <w:t>经费支出</w:t>
      </w:r>
      <w:r>
        <w:rPr>
          <w:rFonts w:hint="eastAsia" w:ascii="仿宋_GB2312" w:eastAsia="仿宋_GB2312"/>
          <w:sz w:val="32"/>
          <w:szCs w:val="32"/>
          <w:lang w:val="zh-CN"/>
        </w:rPr>
        <w:t>。其中：因公出国（境）费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w:t>
      </w:r>
      <w:r>
        <w:rPr>
          <w:rFonts w:hint="eastAsia" w:ascii="仿宋_GB2312" w:eastAsia="仿宋_GB2312"/>
          <w:sz w:val="32"/>
          <w:szCs w:val="32"/>
        </w:rPr>
        <w:t>我单位</w:t>
      </w:r>
      <w:r>
        <w:rPr>
          <w:rFonts w:ascii="仿宋_GB2312" w:eastAsia="仿宋_GB2312"/>
          <w:sz w:val="32"/>
          <w:szCs w:val="32"/>
        </w:rPr>
        <w:t>无因</w:t>
      </w:r>
      <w:r>
        <w:rPr>
          <w:rFonts w:hint="eastAsia" w:ascii="仿宋_GB2312" w:eastAsia="仿宋_GB2312"/>
          <w:sz w:val="32"/>
          <w:szCs w:val="32"/>
          <w:lang w:val="zh-CN"/>
        </w:rPr>
        <w:t>公出国（境）费；公务用车购置费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预算数0.00万元，决算数0.00万元，预决算差异率0.00%，主要原因是：我</w:t>
      </w:r>
      <w:r>
        <w:rPr>
          <w:rFonts w:ascii="仿宋_GB2312" w:eastAsia="仿宋_GB2312"/>
          <w:sz w:val="32"/>
          <w:szCs w:val="32"/>
          <w:lang w:val="zh-CN"/>
        </w:rPr>
        <w:t>单位无</w:t>
      </w:r>
      <w:r>
        <w:rPr>
          <w:rFonts w:hint="eastAsia" w:ascii="仿宋_GB2312" w:eastAsia="仿宋_GB2312"/>
          <w:sz w:val="32"/>
          <w:szCs w:val="32"/>
          <w:lang w:val="zh-CN"/>
        </w:rPr>
        <w:t>公务用车购置费；公务用车运行费</w:t>
      </w:r>
      <w:r>
        <w:rPr>
          <w:rFonts w:hint="eastAsia" w:ascii="仿宋_GB2312" w:eastAsia="仿宋_GB2312"/>
          <w:sz w:val="32"/>
          <w:szCs w:val="32"/>
        </w:rPr>
        <w:t>全年</w:t>
      </w:r>
      <w:r>
        <w:rPr>
          <w:rFonts w:hint="eastAsia" w:ascii="仿宋_GB2312" w:eastAsia="仿宋_GB2312"/>
          <w:sz w:val="32"/>
          <w:szCs w:val="32"/>
          <w:lang w:val="zh-CN"/>
        </w:rPr>
        <w:t>预算数1.90万元，决算数1.90万元，预决算差异率0.00%，主要原因是：</w:t>
      </w:r>
      <w:r>
        <w:rPr>
          <w:rFonts w:hint="eastAsia" w:ascii="仿宋_GB2312" w:eastAsia="仿宋_GB2312"/>
          <w:sz w:val="32"/>
          <w:szCs w:val="32"/>
        </w:rPr>
        <w:t>我单位严格执行公务用车购置及运行维护费支出经费预算，加强公务用车管理，严格控制</w:t>
      </w:r>
      <w:r>
        <w:rPr>
          <w:rFonts w:ascii="仿宋_GB2312" w:eastAsia="仿宋_GB2312"/>
          <w:sz w:val="32"/>
          <w:szCs w:val="32"/>
        </w:rPr>
        <w:t>“</w:t>
      </w:r>
      <w:r>
        <w:rPr>
          <w:rFonts w:hint="eastAsia" w:ascii="仿宋_GB2312" w:eastAsia="仿宋_GB2312"/>
          <w:sz w:val="32"/>
          <w:szCs w:val="32"/>
        </w:rPr>
        <w:t>三公</w:t>
      </w:r>
      <w:r>
        <w:rPr>
          <w:rFonts w:ascii="仿宋_GB2312" w:eastAsia="仿宋_GB2312"/>
          <w:sz w:val="32"/>
          <w:szCs w:val="32"/>
        </w:rPr>
        <w:t>”</w:t>
      </w:r>
      <w:r>
        <w:rPr>
          <w:rFonts w:hint="eastAsia" w:ascii="仿宋_GB2312" w:eastAsia="仿宋_GB2312"/>
          <w:sz w:val="32"/>
          <w:szCs w:val="32"/>
        </w:rPr>
        <w:t>经费支出</w:t>
      </w:r>
      <w:r>
        <w:rPr>
          <w:rFonts w:hint="eastAsia" w:ascii="仿宋_GB2312" w:eastAsia="仿宋_GB2312"/>
          <w:sz w:val="32"/>
          <w:szCs w:val="32"/>
          <w:lang w:val="zh-CN"/>
        </w:rPr>
        <w:t>；公务接待费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w:t>
      </w:r>
      <w:r>
        <w:rPr>
          <w:rFonts w:hint="eastAsia" w:ascii="仿宋_GB2312" w:eastAsia="仿宋_GB2312"/>
          <w:sz w:val="32"/>
          <w:szCs w:val="32"/>
        </w:rPr>
        <w:t>我</w:t>
      </w:r>
      <w:r>
        <w:rPr>
          <w:rFonts w:ascii="仿宋_GB2312" w:eastAsia="仿宋_GB2312"/>
          <w:sz w:val="32"/>
          <w:szCs w:val="32"/>
        </w:rPr>
        <w:t>单位无</w:t>
      </w:r>
      <w:r>
        <w:rPr>
          <w:rFonts w:hint="eastAsia" w:ascii="仿宋_GB2312" w:eastAsia="仿宋_GB2312"/>
          <w:sz w:val="32"/>
          <w:szCs w:val="32"/>
          <w:lang w:val="zh-CN"/>
        </w:rPr>
        <w:t>公务接待费。</w:t>
      </w:r>
    </w:p>
    <w:p>
      <w:pPr>
        <w:ind w:firstLine="640" w:firstLineChars="200"/>
        <w:jc w:val="left"/>
        <w:outlineLvl w:val="1"/>
        <w:rPr>
          <w:rFonts w:ascii="黑体" w:hAnsi="黑体" w:eastAsia="黑体" w:cs="宋体"/>
          <w:bCs/>
          <w:kern w:val="0"/>
          <w:sz w:val="32"/>
          <w:szCs w:val="32"/>
        </w:rPr>
      </w:pPr>
      <w:bookmarkStart w:id="18" w:name="_Toc7927"/>
      <w:bookmarkStart w:id="19" w:name="_Toc5810"/>
      <w:r>
        <w:rPr>
          <w:rFonts w:hint="eastAsia" w:ascii="黑体" w:hAnsi="黑体" w:eastAsia="黑体" w:cs="宋体"/>
          <w:bCs/>
          <w:kern w:val="0"/>
          <w:sz w:val="32"/>
          <w:szCs w:val="32"/>
        </w:rPr>
        <w:t>八、政府性基金预算财政拨款收入支出决算情况说明</w:t>
      </w:r>
      <w:bookmarkEnd w:id="18"/>
      <w:bookmarkEnd w:id="19"/>
    </w:p>
    <w:p>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pPr>
        <w:ind w:firstLine="640" w:firstLineChars="200"/>
        <w:jc w:val="left"/>
        <w:outlineLvl w:val="1"/>
        <w:rPr>
          <w:rFonts w:ascii="仿宋_GB2312" w:eastAsia="仿宋_GB2312"/>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pPr>
        <w:ind w:firstLine="640" w:firstLineChars="200"/>
        <w:jc w:val="left"/>
        <w:outlineLvl w:val="1"/>
        <w:rPr>
          <w:rFonts w:ascii="黑体" w:hAnsi="黑体" w:eastAsia="黑体" w:cs="宋体"/>
          <w:bCs/>
          <w:kern w:val="0"/>
          <w:sz w:val="32"/>
          <w:szCs w:val="32"/>
        </w:rPr>
      </w:pPr>
      <w:bookmarkStart w:id="20" w:name="_Toc7314"/>
      <w:bookmarkStart w:id="21" w:name="_Toc1235"/>
      <w:r>
        <w:rPr>
          <w:rFonts w:hint="eastAsia" w:ascii="黑体" w:hAnsi="黑体" w:eastAsia="黑体" w:cs="宋体"/>
          <w:bCs/>
          <w:kern w:val="0"/>
          <w:sz w:val="32"/>
          <w:szCs w:val="32"/>
        </w:rPr>
        <w:t>十、其他重要事项的情况说明</w:t>
      </w:r>
      <w:bookmarkEnd w:id="20"/>
      <w:bookmarkEnd w:id="21"/>
    </w:p>
    <w:p>
      <w:pPr>
        <w:ind w:firstLine="640" w:firstLineChars="200"/>
        <w:jc w:val="left"/>
        <w:outlineLvl w:val="2"/>
        <w:rPr>
          <w:rFonts w:ascii="黑体" w:hAnsi="黑体" w:eastAsia="黑体"/>
          <w:sz w:val="32"/>
          <w:szCs w:val="32"/>
        </w:rPr>
      </w:pPr>
      <w:bookmarkStart w:id="22" w:name="_Toc14519"/>
      <w:bookmarkStart w:id="23" w:name="_Toc13105"/>
      <w:r>
        <w:rPr>
          <w:rFonts w:hint="eastAsia" w:ascii="黑体" w:hAnsi="黑体" w:eastAsia="黑体"/>
          <w:sz w:val="32"/>
          <w:szCs w:val="32"/>
        </w:rPr>
        <w:t>（一）机关运行经费支出情况</w:t>
      </w:r>
      <w:bookmarkEnd w:id="22"/>
      <w:bookmarkEnd w:id="23"/>
    </w:p>
    <w:p>
      <w:pPr>
        <w:ind w:firstLine="640" w:firstLineChars="200"/>
        <w:jc w:val="left"/>
        <w:rPr>
          <w:rFonts w:ascii="仿宋_GB2312" w:eastAsia="仿宋_GB2312"/>
          <w:sz w:val="32"/>
          <w:szCs w:val="32"/>
        </w:rPr>
      </w:pPr>
      <w:bookmarkStart w:id="24" w:name="_Toc26704"/>
      <w:bookmarkStart w:id="25" w:name="_Toc227"/>
      <w:r>
        <w:rPr>
          <w:rFonts w:hint="eastAsia" w:ascii="仿宋_GB2312" w:eastAsia="仿宋_GB2312"/>
          <w:sz w:val="32"/>
          <w:szCs w:val="32"/>
          <w:lang w:val="zh-CN"/>
        </w:rPr>
        <w:t>2023年度</w:t>
      </w:r>
      <w:r>
        <w:rPr>
          <w:rFonts w:hint="eastAsia" w:ascii="仿宋_GB2312" w:eastAsia="仿宋_GB2312"/>
          <w:sz w:val="32"/>
          <w:szCs w:val="32"/>
        </w:rPr>
        <w:t>新疆畜牧科学院畜牧业经济与信息研究所（新疆维吾尔自治区畜牧科技宣传教育中心）（事业单位）公用经费支出58.65万元，</w:t>
      </w:r>
      <w:r>
        <w:rPr>
          <w:rFonts w:hint="eastAsia" w:ascii="仿宋_GB2312" w:eastAsia="仿宋_GB2312"/>
          <w:sz w:val="32"/>
          <w:szCs w:val="32"/>
          <w:lang w:val="zh-CN"/>
        </w:rPr>
        <w:t>比上年增加10.16万元，增长20.94%，主要原因是：</w:t>
      </w:r>
      <w:r>
        <w:rPr>
          <w:rFonts w:hint="eastAsia" w:eastAsia="仿宋_GB2312"/>
          <w:sz w:val="32"/>
          <w:szCs w:val="32"/>
          <w:lang w:val="zh-CN"/>
        </w:rPr>
        <w:t>因在职人员人数相比上年增加，所以公用经费支出增加。</w:t>
      </w:r>
    </w:p>
    <w:p>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2023年度政府采购支出总额50.57万元，其中：政府采购货物支出19.31万元、政府采购工程支出0.00万元、政府采购服务支出31.26万元。</w:t>
      </w:r>
    </w:p>
    <w:p>
      <w:pPr>
        <w:ind w:firstLine="640" w:firstLineChars="200"/>
        <w:jc w:val="left"/>
        <w:rPr>
          <w:rFonts w:ascii="仿宋_GB2312" w:eastAsia="仿宋_GB2312"/>
          <w:sz w:val="32"/>
          <w:szCs w:val="32"/>
        </w:rPr>
      </w:pPr>
      <w:r>
        <w:rPr>
          <w:rFonts w:hint="eastAsia" w:ascii="仿宋_GB2312" w:eastAsia="仿宋_GB2312"/>
          <w:sz w:val="32"/>
          <w:szCs w:val="32"/>
          <w:lang w:val="zh-CN"/>
        </w:rPr>
        <w:t>授予中小企业合同金额30.71万元，占政府采购支出总额的60.73</w:t>
      </w:r>
      <w:r>
        <w:rPr>
          <w:rFonts w:ascii="仿宋_GB2312" w:eastAsia="仿宋_GB2312"/>
          <w:sz w:val="32"/>
          <w:szCs w:val="32"/>
          <w:lang w:val="zh-CN"/>
        </w:rPr>
        <w:t>%</w:t>
      </w:r>
      <w:r>
        <w:rPr>
          <w:rFonts w:hint="eastAsia" w:ascii="仿宋_GB2312" w:eastAsia="仿宋_GB2312"/>
          <w:sz w:val="32"/>
          <w:szCs w:val="32"/>
          <w:lang w:val="zh-CN"/>
        </w:rPr>
        <w:t>，其中：授予小微企业合同金额30.71万元，占政府采购支出总额的60.73</w:t>
      </w:r>
      <w:r>
        <w:rPr>
          <w:rFonts w:ascii="仿宋_GB2312" w:eastAsia="仿宋_GB2312"/>
          <w:sz w:val="32"/>
          <w:szCs w:val="32"/>
          <w:lang w:val="zh-CN"/>
        </w:rPr>
        <w:t>%</w:t>
      </w:r>
      <w:r>
        <w:rPr>
          <w:rFonts w:hint="eastAsia" w:ascii="仿宋_GB2312" w:eastAsia="仿宋_GB2312"/>
          <w:sz w:val="32"/>
          <w:szCs w:val="32"/>
        </w:rPr>
        <w:t>。</w:t>
      </w:r>
    </w:p>
    <w:p>
      <w:pPr>
        <w:ind w:firstLine="640" w:firstLineChars="200"/>
        <w:jc w:val="left"/>
        <w:rPr>
          <w:rFonts w:eastAsia="黑体"/>
          <w:sz w:val="32"/>
          <w:szCs w:val="30"/>
          <w:lang w:val="zh-CN"/>
        </w:rPr>
      </w:pPr>
      <w:bookmarkStart w:id="26" w:name="_Toc4591"/>
      <w:bookmarkStart w:id="27" w:name="_Toc8391"/>
      <w:r>
        <w:rPr>
          <w:rFonts w:hint="eastAsia" w:eastAsia="黑体"/>
          <w:sz w:val="32"/>
          <w:szCs w:val="30"/>
          <w:lang w:val="zh-CN"/>
        </w:rPr>
        <w:t>（三）国有资产占用情况说明</w:t>
      </w:r>
      <w:bookmarkEnd w:id="26"/>
      <w:bookmarkEnd w:id="27"/>
    </w:p>
    <w:p>
      <w:pPr>
        <w:ind w:firstLine="640" w:firstLineChars="200"/>
        <w:jc w:val="left"/>
        <w:rPr>
          <w:rFonts w:ascii="仿宋_GB2312" w:eastAsia="仿宋_GB2312"/>
          <w:sz w:val="32"/>
          <w:szCs w:val="32"/>
          <w:lang w:val="zh-CN"/>
        </w:rPr>
      </w:pPr>
      <w:r>
        <w:rPr>
          <w:rFonts w:hint="eastAsia" w:ascii="仿宋_GB2312" w:eastAsia="仿宋_GB2312"/>
          <w:sz w:val="32"/>
          <w:szCs w:val="32"/>
        </w:rPr>
        <w:t>截至2023</w:t>
      </w:r>
      <w:r>
        <w:rPr>
          <w:rFonts w:hint="eastAsia" w:ascii="仿宋_GB2312" w:eastAsia="仿宋_GB2312"/>
          <w:sz w:val="32"/>
          <w:szCs w:val="32"/>
          <w:lang w:val="zh-CN"/>
        </w:rPr>
        <w:t>年</w:t>
      </w:r>
      <w:r>
        <w:rPr>
          <w:rFonts w:hint="eastAsia" w:ascii="仿宋_GB2312" w:eastAsia="仿宋_GB2312"/>
          <w:sz w:val="32"/>
          <w:szCs w:val="32"/>
        </w:rPr>
        <w:t>12月31日</w:t>
      </w:r>
      <w:r>
        <w:rPr>
          <w:rFonts w:hint="eastAsia" w:ascii="仿宋_GB2312" w:eastAsia="仿宋_GB2312"/>
          <w:sz w:val="32"/>
          <w:szCs w:val="32"/>
          <w:lang w:val="zh-CN"/>
        </w:rPr>
        <w:t>，</w:t>
      </w:r>
      <w:r>
        <w:rPr>
          <w:rFonts w:hint="eastAsia" w:ascii="仿宋_GB2312" w:eastAsia="仿宋_GB2312"/>
          <w:sz w:val="32"/>
          <w:szCs w:val="32"/>
        </w:rPr>
        <w:t>固定资产原值</w:t>
      </w:r>
      <w:r>
        <w:rPr>
          <w:rFonts w:hint="eastAsia" w:ascii="仿宋_GB2312" w:eastAsia="仿宋_GB2312"/>
          <w:sz w:val="32"/>
          <w:szCs w:val="32"/>
          <w:lang w:val="zh-CN"/>
        </w:rPr>
        <w:t>362.66</w:t>
      </w:r>
      <w:r>
        <w:rPr>
          <w:rFonts w:hint="eastAsia" w:ascii="仿宋_GB2312" w:eastAsia="仿宋_GB2312"/>
          <w:sz w:val="32"/>
          <w:szCs w:val="32"/>
        </w:rPr>
        <w:t>万元，房</w:t>
      </w:r>
      <w:r>
        <w:rPr>
          <w:rFonts w:hint="eastAsia" w:ascii="仿宋_GB2312" w:eastAsia="仿宋_GB2312"/>
          <w:sz w:val="32"/>
          <w:szCs w:val="32"/>
          <w:lang w:val="zh-CN"/>
        </w:rPr>
        <w:t>屋0.00平方米，价值0.00万元。车辆1辆，价值17.58万元，其中：副部（省）级及以上领导用车0辆、主要</w:t>
      </w:r>
      <w:r>
        <w:rPr>
          <w:rFonts w:hint="eastAsia" w:ascii="仿宋_GB2312" w:eastAsia="仿宋_GB2312"/>
          <w:sz w:val="32"/>
          <w:szCs w:val="32"/>
        </w:rPr>
        <w:t>负责人</w:t>
      </w:r>
      <w:r>
        <w:rPr>
          <w:rFonts w:hint="eastAsia" w:ascii="仿宋_GB2312" w:eastAsia="仿宋_GB2312"/>
          <w:sz w:val="32"/>
          <w:szCs w:val="32"/>
          <w:lang w:val="zh-CN"/>
        </w:rPr>
        <w:t>用车0辆、机要通信用车0辆、应急保障用车0辆、执法执勤用车0辆、特种专业技术用车0辆、离退休干部</w:t>
      </w:r>
      <w:r>
        <w:rPr>
          <w:rFonts w:hint="eastAsia" w:ascii="仿宋_GB2312" w:eastAsia="仿宋_GB2312"/>
          <w:sz w:val="32"/>
          <w:szCs w:val="32"/>
        </w:rPr>
        <w:t>服务</w:t>
      </w:r>
      <w:r>
        <w:rPr>
          <w:rFonts w:hint="eastAsia" w:ascii="仿宋_GB2312" w:eastAsia="仿宋_GB2312"/>
          <w:sz w:val="32"/>
          <w:szCs w:val="32"/>
          <w:lang w:val="zh-CN"/>
        </w:rPr>
        <w:t>用车0辆、其他用车1辆，其他用车主要是：</w:t>
      </w:r>
      <w:r>
        <w:rPr>
          <w:rFonts w:hint="eastAsia" w:ascii="仿宋_GB2312" w:eastAsia="仿宋_GB2312"/>
          <w:sz w:val="32"/>
          <w:szCs w:val="32"/>
        </w:rPr>
        <w:t>公务用车</w:t>
      </w:r>
      <w:r>
        <w:rPr>
          <w:rFonts w:hint="eastAsia" w:ascii="仿宋_GB2312" w:eastAsia="仿宋_GB2312"/>
          <w:sz w:val="32"/>
          <w:szCs w:val="32"/>
          <w:lang w:val="zh-CN"/>
        </w:rPr>
        <w:t>；单价100万元（含）以上设备（不含车辆）0</w:t>
      </w:r>
      <w:r>
        <w:rPr>
          <w:rFonts w:hint="eastAsia" w:ascii="仿宋_GB2312" w:eastAsia="仿宋_GB2312"/>
          <w:sz w:val="32"/>
          <w:szCs w:val="32"/>
        </w:rPr>
        <w:t>台</w:t>
      </w:r>
      <w:r>
        <w:rPr>
          <w:rFonts w:hint="eastAsia" w:ascii="仿宋_GB2312" w:eastAsia="仿宋_GB2312"/>
          <w:sz w:val="32"/>
          <w:szCs w:val="32"/>
          <w:lang w:val="zh-CN"/>
        </w:rPr>
        <w:t>。</w:t>
      </w:r>
    </w:p>
    <w:p>
      <w:pPr>
        <w:ind w:firstLine="640" w:firstLineChars="200"/>
        <w:jc w:val="left"/>
        <w:outlineLvl w:val="1"/>
        <w:rPr>
          <w:rFonts w:ascii="黑体" w:hAnsi="黑体" w:eastAsia="黑体" w:cs="宋体"/>
          <w:bCs/>
          <w:kern w:val="0"/>
          <w:sz w:val="32"/>
          <w:szCs w:val="32"/>
        </w:rPr>
      </w:pPr>
      <w:bookmarkStart w:id="28" w:name="_Toc435"/>
      <w:bookmarkStart w:id="29" w:name="_Toc11283"/>
      <w:r>
        <w:rPr>
          <w:rFonts w:hint="eastAsia" w:ascii="黑体" w:hAnsi="黑体" w:eastAsia="黑体" w:cs="宋体"/>
          <w:bCs/>
          <w:kern w:val="0"/>
          <w:sz w:val="32"/>
          <w:szCs w:val="32"/>
        </w:rPr>
        <w:t>十一、预算绩效的情况说明</w:t>
      </w:r>
      <w:bookmarkEnd w:id="28"/>
      <w:bookmarkEnd w:id="29"/>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根据预算绩效管理要求，我</w:t>
      </w:r>
      <w:r>
        <w:rPr>
          <w:rFonts w:hint="eastAsia" w:ascii="仿宋_GB2312" w:eastAsia="仿宋_GB2312"/>
          <w:sz w:val="32"/>
          <w:szCs w:val="32"/>
        </w:rPr>
        <w:t>单位</w:t>
      </w:r>
      <w:r>
        <w:rPr>
          <w:rFonts w:hint="eastAsia" w:ascii="仿宋_GB2312" w:eastAsia="仿宋_GB2312"/>
          <w:sz w:val="32"/>
          <w:szCs w:val="32"/>
          <w:lang w:val="zh-CN"/>
        </w:rPr>
        <w:t>2023年度预算绩效管理整体</w:t>
      </w:r>
      <w:r>
        <w:rPr>
          <w:rFonts w:hint="eastAsia" w:ascii="仿宋_GB2312" w:eastAsia="仿宋_GB2312"/>
          <w:sz w:val="32"/>
          <w:szCs w:val="32"/>
        </w:rPr>
        <w:t>支出</w:t>
      </w:r>
      <w:r>
        <w:rPr>
          <w:rFonts w:hint="eastAsia" w:ascii="仿宋_GB2312" w:eastAsia="仿宋_GB2312"/>
          <w:sz w:val="32"/>
          <w:szCs w:val="32"/>
          <w:lang w:val="zh-CN"/>
        </w:rPr>
        <w:t>绩效自评表</w:t>
      </w:r>
      <w:r>
        <w:rPr>
          <w:rFonts w:ascii="仿宋_GB2312" w:eastAsia="仿宋_GB2312"/>
          <w:sz w:val="32"/>
          <w:szCs w:val="32"/>
        </w:rPr>
        <w:t>0</w:t>
      </w:r>
      <w:r>
        <w:rPr>
          <w:rFonts w:hint="eastAsia" w:ascii="仿宋_GB2312" w:eastAsia="仿宋_GB2312"/>
          <w:sz w:val="32"/>
          <w:szCs w:val="32"/>
        </w:rPr>
        <w:t>个，全年预算总额</w:t>
      </w:r>
      <w:r>
        <w:rPr>
          <w:rFonts w:ascii="仿宋_GB2312" w:eastAsia="仿宋_GB2312"/>
          <w:sz w:val="32"/>
          <w:szCs w:val="32"/>
        </w:rPr>
        <w:t>0</w:t>
      </w:r>
      <w:r>
        <w:rPr>
          <w:rFonts w:hint="eastAsia" w:ascii="仿宋_GB2312" w:eastAsia="仿宋_GB2312"/>
          <w:sz w:val="32"/>
          <w:szCs w:val="32"/>
          <w:lang w:val="zh-CN"/>
        </w:rPr>
        <w:t>万元，</w:t>
      </w:r>
      <w:r>
        <w:rPr>
          <w:rFonts w:hint="eastAsia" w:ascii="仿宋_GB2312" w:eastAsia="仿宋_GB2312"/>
          <w:sz w:val="32"/>
          <w:szCs w:val="32"/>
        </w:rPr>
        <w:t>实际执行总额</w:t>
      </w:r>
      <w:r>
        <w:rPr>
          <w:rFonts w:ascii="仿宋_GB2312" w:eastAsia="仿宋_GB2312"/>
          <w:sz w:val="32"/>
          <w:szCs w:val="32"/>
        </w:rPr>
        <w:t>0</w:t>
      </w:r>
      <w:r>
        <w:rPr>
          <w:rFonts w:hint="eastAsia" w:ascii="仿宋_GB2312" w:eastAsia="仿宋_GB2312"/>
          <w:sz w:val="32"/>
          <w:szCs w:val="32"/>
          <w:lang w:val="zh-CN"/>
        </w:rPr>
        <w:t>万元，</w:t>
      </w:r>
      <w:r>
        <w:rPr>
          <w:rFonts w:hint="eastAsia" w:ascii="仿宋_GB2312" w:eastAsia="仿宋_GB2312"/>
          <w:sz w:val="32"/>
          <w:szCs w:val="32"/>
        </w:rPr>
        <w:t>我单位整体支出绩效自评是由自治区科技厅完成；</w:t>
      </w:r>
      <w:r>
        <w:rPr>
          <w:rFonts w:hint="eastAsia" w:ascii="仿宋_GB2312" w:eastAsia="仿宋_GB2312"/>
          <w:sz w:val="32"/>
          <w:szCs w:val="32"/>
          <w:lang w:val="zh-CN"/>
        </w:rPr>
        <w:t>预算绩效评价项目</w:t>
      </w:r>
      <w:r>
        <w:rPr>
          <w:rFonts w:hint="eastAsia" w:ascii="仿宋_GB2312" w:eastAsia="仿宋_GB2312"/>
          <w:sz w:val="32"/>
          <w:szCs w:val="32"/>
        </w:rPr>
        <w:t>3</w:t>
      </w:r>
      <w:r>
        <w:rPr>
          <w:rFonts w:hint="eastAsia" w:ascii="仿宋_GB2312" w:eastAsia="仿宋_GB2312"/>
          <w:sz w:val="32"/>
          <w:szCs w:val="32"/>
          <w:lang w:val="zh-CN"/>
        </w:rPr>
        <w:t>个，</w:t>
      </w:r>
      <w:r>
        <w:rPr>
          <w:rFonts w:hint="eastAsia" w:ascii="仿宋_GB2312" w:eastAsia="仿宋_GB2312"/>
          <w:sz w:val="32"/>
          <w:szCs w:val="32"/>
        </w:rPr>
        <w:t>全年预算数233.35</w:t>
      </w:r>
      <w:r>
        <w:rPr>
          <w:rFonts w:hint="eastAsia" w:ascii="仿宋_GB2312" w:eastAsia="仿宋_GB2312"/>
          <w:sz w:val="32"/>
          <w:szCs w:val="32"/>
          <w:lang w:val="zh-CN"/>
        </w:rPr>
        <w:t>万元，</w:t>
      </w:r>
      <w:r>
        <w:rPr>
          <w:rFonts w:hint="eastAsia" w:ascii="仿宋_GB2312" w:eastAsia="仿宋_GB2312"/>
          <w:sz w:val="32"/>
          <w:szCs w:val="32"/>
        </w:rPr>
        <w:t>全年执行数233.35</w:t>
      </w:r>
      <w:r>
        <w:rPr>
          <w:rFonts w:hint="eastAsia" w:ascii="仿宋_GB2312" w:eastAsia="仿宋_GB2312"/>
          <w:sz w:val="32"/>
          <w:szCs w:val="32"/>
          <w:lang w:val="zh-CN"/>
        </w:rPr>
        <w:t>万元。预算绩效管理取得的成效：一是为我国和我区从事畜牧业教学、科研和生产单位提供了大量有价值的畜牧科技情报信息；二是对促进我国和我区畜牧业的科技进步和生产发展起到了积极作用。发现的问题及原因：</w:t>
      </w:r>
      <w:r>
        <w:rPr>
          <w:rFonts w:hint="eastAsia" w:ascii="仿宋_GB2312" w:eastAsia="仿宋_GB2312"/>
          <w:sz w:val="32"/>
          <w:szCs w:val="32"/>
        </w:rPr>
        <w:t>一是要改进管理方式方法，提高资金使用效益；二是有的绩效评价指标设置不科学，需要改进。</w:t>
      </w:r>
      <w:r>
        <w:rPr>
          <w:rFonts w:hint="eastAsia" w:ascii="仿宋_GB2312" w:eastAsia="仿宋_GB2312"/>
          <w:sz w:val="32"/>
          <w:szCs w:val="32"/>
          <w:lang w:val="zh-CN"/>
        </w:rPr>
        <w:t>下一步改进措施：</w:t>
      </w:r>
      <w:r>
        <w:rPr>
          <w:rFonts w:hint="eastAsia" w:ascii="仿宋_GB2312" w:eastAsia="仿宋_GB2312"/>
          <w:sz w:val="32"/>
          <w:szCs w:val="32"/>
        </w:rPr>
        <w:t>一是要加强绩效</w:t>
      </w:r>
      <w:r>
        <w:rPr>
          <w:rFonts w:ascii="仿宋_GB2312" w:eastAsia="仿宋_GB2312"/>
          <w:sz w:val="32"/>
          <w:szCs w:val="32"/>
        </w:rPr>
        <w:t>“</w:t>
      </w:r>
      <w:r>
        <w:rPr>
          <w:rFonts w:hint="eastAsia" w:ascii="仿宋_GB2312" w:eastAsia="仿宋_GB2312"/>
          <w:sz w:val="32"/>
          <w:szCs w:val="32"/>
        </w:rPr>
        <w:t>全过程</w:t>
      </w:r>
      <w:r>
        <w:rPr>
          <w:rFonts w:ascii="仿宋_GB2312" w:eastAsia="仿宋_GB2312"/>
          <w:sz w:val="32"/>
          <w:szCs w:val="32"/>
        </w:rPr>
        <w:t>”</w:t>
      </w:r>
      <w:r>
        <w:rPr>
          <w:rFonts w:hint="eastAsia" w:ascii="仿宋_GB2312" w:eastAsia="仿宋_GB2312"/>
          <w:sz w:val="32"/>
          <w:szCs w:val="32"/>
        </w:rPr>
        <w:t>管理力度，按时完成绩效管理任务；二是合理设置绩效评价指标。</w:t>
      </w:r>
      <w:r>
        <w:rPr>
          <w:rFonts w:hint="eastAsia" w:ascii="仿宋_GB2312" w:eastAsia="仿宋_GB2312"/>
          <w:sz w:val="32"/>
          <w:szCs w:val="32"/>
          <w:lang w:val="zh-CN"/>
        </w:rPr>
        <w:t>具体项目自评情况附绩效自评表。</w:t>
      </w:r>
    </w:p>
    <w:p>
      <w:pPr>
        <w:ind w:firstLine="640" w:firstLineChars="200"/>
        <w:jc w:val="left"/>
        <w:rPr>
          <w:rFonts w:ascii="黑体" w:hAnsi="黑体" w:eastAsia="黑体" w:cs="宋体"/>
          <w:bCs/>
          <w:kern w:val="0"/>
          <w:sz w:val="32"/>
          <w:szCs w:val="32"/>
        </w:rPr>
      </w:pPr>
      <w:r>
        <w:rPr>
          <w:rFonts w:hint="eastAsia" w:ascii="黑体" w:hAnsi="黑体" w:eastAsia="黑体" w:cs="宋体"/>
          <w:bCs/>
          <w:kern w:val="0"/>
          <w:sz w:val="32"/>
          <w:szCs w:val="32"/>
        </w:rPr>
        <w:t>十二、其他需说明的事项</w:t>
      </w:r>
    </w:p>
    <w:p>
      <w:pPr>
        <w:ind w:firstLine="640" w:firstLineChars="200"/>
        <w:jc w:val="left"/>
        <w:rPr>
          <w:rFonts w:ascii="黑体" w:hAnsi="黑体" w:eastAsia="黑体"/>
          <w:sz w:val="32"/>
          <w:szCs w:val="32"/>
        </w:rPr>
      </w:pPr>
      <w:r>
        <w:rPr>
          <w:rFonts w:hint="eastAsia" w:ascii="仿宋_GB2312" w:hAnsi="仿宋_GB2312" w:eastAsia="仿宋_GB2312" w:cs="仿宋_GB2312"/>
          <w:kern w:val="0"/>
          <w:sz w:val="32"/>
          <w:szCs w:val="32"/>
        </w:rPr>
        <w:t>本单位无其他需说明事项</w:t>
      </w:r>
      <w:bookmarkStart w:id="30" w:name="_Toc24143"/>
      <w:bookmarkStart w:id="31" w:name="_Toc3250"/>
      <w:r>
        <w:rPr>
          <w:rFonts w:hint="eastAsia" w:ascii="仿宋_GB2312" w:hAnsi="仿宋_GB2312" w:eastAsia="仿宋_GB2312" w:cs="仿宋_GB2312"/>
          <w:kern w:val="0"/>
          <w:sz w:val="32"/>
          <w:szCs w:val="32"/>
          <w:lang w:eastAsia="zh-CN"/>
        </w:rPr>
        <w:t>。</w:t>
      </w:r>
      <w:bookmarkStart w:id="48" w:name="_GoBack"/>
      <w:bookmarkEnd w:id="48"/>
      <w:r>
        <w:rPr>
          <w:rFonts w:hint="eastAsia" w:ascii="黑体" w:hAnsi="黑体" w:eastAsia="黑体"/>
          <w:sz w:val="32"/>
          <w:szCs w:val="32"/>
        </w:rPr>
        <w:br w:type="page"/>
      </w:r>
      <w:r>
        <w:rPr>
          <w:rFonts w:hint="eastAsia" w:ascii="黑体" w:hAnsi="黑体" w:eastAsia="黑体"/>
          <w:sz w:val="32"/>
          <w:szCs w:val="32"/>
        </w:rPr>
        <w:t>第三部分 专业名词解释</w:t>
      </w:r>
      <w:bookmarkEnd w:id="30"/>
      <w:bookmarkEnd w:id="31"/>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pPr>
        <w:ind w:firstLine="640" w:firstLineChars="200"/>
        <w:outlineLvl w:val="1"/>
        <w:rPr>
          <w:rFonts w:ascii="黑体" w:hAnsi="黑体" w:eastAsia="仿宋_GB2312" w:cs="宋体"/>
          <w:bCs/>
          <w:kern w:val="0"/>
          <w:sz w:val="32"/>
          <w:szCs w:val="32"/>
        </w:rPr>
      </w:pPr>
      <w:bookmarkStart w:id="32" w:name="_Toc6062"/>
      <w:bookmarkStart w:id="33" w:name="_Toc2183"/>
      <w:r>
        <w:rPr>
          <w:rFonts w:hint="eastAsia" w:ascii="黑体" w:hAnsi="黑体" w:eastAsia="仿宋_GB2312" w:cs="宋体"/>
          <w:bCs/>
          <w:kern w:val="0"/>
          <w:sz w:val="32"/>
          <w:szCs w:val="32"/>
        </w:rPr>
        <w:t>一、《收入支出决算总表》</w:t>
      </w:r>
      <w:bookmarkEnd w:id="32"/>
      <w:bookmarkEnd w:id="33"/>
    </w:p>
    <w:p>
      <w:pPr>
        <w:ind w:firstLine="640" w:firstLineChars="200"/>
        <w:outlineLvl w:val="1"/>
        <w:rPr>
          <w:rFonts w:ascii="黑体" w:hAnsi="黑体" w:eastAsia="仿宋_GB2312" w:cs="宋体"/>
          <w:bCs/>
          <w:kern w:val="0"/>
          <w:sz w:val="32"/>
          <w:szCs w:val="32"/>
        </w:rPr>
      </w:pPr>
      <w:bookmarkStart w:id="34" w:name="_Toc30364"/>
      <w:bookmarkStart w:id="35" w:name="_Toc24532"/>
      <w:r>
        <w:rPr>
          <w:rFonts w:hint="eastAsia" w:ascii="黑体" w:hAnsi="黑体" w:eastAsia="仿宋_GB2312" w:cs="宋体"/>
          <w:bCs/>
          <w:kern w:val="0"/>
          <w:sz w:val="32"/>
          <w:szCs w:val="32"/>
        </w:rPr>
        <w:t>二、《收入决算表》</w:t>
      </w:r>
      <w:bookmarkEnd w:id="34"/>
      <w:bookmarkEnd w:id="35"/>
    </w:p>
    <w:p>
      <w:pPr>
        <w:ind w:firstLine="640" w:firstLineChars="200"/>
        <w:outlineLvl w:val="1"/>
        <w:rPr>
          <w:rFonts w:ascii="黑体" w:hAnsi="黑体" w:eastAsia="仿宋_GB2312" w:cs="宋体"/>
          <w:bCs/>
          <w:kern w:val="0"/>
          <w:sz w:val="32"/>
          <w:szCs w:val="32"/>
        </w:rPr>
      </w:pPr>
      <w:bookmarkStart w:id="36" w:name="_Toc21304"/>
      <w:bookmarkStart w:id="37" w:name="_Toc32434"/>
      <w:r>
        <w:rPr>
          <w:rFonts w:hint="eastAsia" w:ascii="黑体" w:hAnsi="黑体" w:eastAsia="仿宋_GB2312" w:cs="宋体"/>
          <w:bCs/>
          <w:kern w:val="0"/>
          <w:sz w:val="32"/>
          <w:szCs w:val="32"/>
        </w:rPr>
        <w:t>三、《支出决算表》</w:t>
      </w:r>
      <w:bookmarkEnd w:id="36"/>
      <w:bookmarkEnd w:id="37"/>
    </w:p>
    <w:p>
      <w:pPr>
        <w:ind w:firstLine="640" w:firstLineChars="200"/>
        <w:outlineLvl w:val="1"/>
        <w:rPr>
          <w:rFonts w:ascii="黑体" w:hAnsi="黑体" w:eastAsia="仿宋_GB2312" w:cs="宋体"/>
          <w:bCs/>
          <w:kern w:val="0"/>
          <w:sz w:val="32"/>
          <w:szCs w:val="32"/>
        </w:rPr>
      </w:pPr>
      <w:bookmarkStart w:id="38" w:name="_Toc28786"/>
      <w:bookmarkStart w:id="39" w:name="_Toc14238"/>
      <w:r>
        <w:rPr>
          <w:rFonts w:hint="eastAsia" w:ascii="黑体" w:hAnsi="黑体" w:eastAsia="仿宋_GB2312" w:cs="宋体"/>
          <w:bCs/>
          <w:kern w:val="0"/>
          <w:sz w:val="32"/>
          <w:szCs w:val="32"/>
        </w:rPr>
        <w:t>四、《财政拨款收入支出决算总表》</w:t>
      </w:r>
      <w:bookmarkEnd w:id="38"/>
      <w:bookmarkEnd w:id="39"/>
    </w:p>
    <w:p>
      <w:pPr>
        <w:ind w:firstLine="640" w:firstLineChars="200"/>
        <w:outlineLvl w:val="1"/>
        <w:rPr>
          <w:rFonts w:ascii="黑体" w:hAnsi="黑体" w:eastAsia="仿宋_GB2312" w:cs="宋体"/>
          <w:bCs/>
          <w:kern w:val="0"/>
          <w:sz w:val="32"/>
          <w:szCs w:val="32"/>
        </w:rPr>
      </w:pPr>
      <w:bookmarkStart w:id="40" w:name="_Toc14869"/>
      <w:bookmarkStart w:id="41" w:name="_Toc10347"/>
      <w:r>
        <w:rPr>
          <w:rFonts w:hint="eastAsia" w:ascii="黑体" w:hAnsi="黑体" w:eastAsia="仿宋_GB2312" w:cs="宋体"/>
          <w:bCs/>
          <w:kern w:val="0"/>
          <w:sz w:val="32"/>
          <w:szCs w:val="32"/>
        </w:rPr>
        <w:t>五、《一般公共预算财政拨款支出决算表》</w:t>
      </w:r>
      <w:bookmarkEnd w:id="40"/>
      <w:bookmarkEnd w:id="41"/>
    </w:p>
    <w:p>
      <w:pPr>
        <w:ind w:firstLine="640" w:firstLineChars="200"/>
        <w:outlineLvl w:val="1"/>
        <w:rPr>
          <w:rFonts w:ascii="黑体" w:hAnsi="黑体" w:eastAsia="仿宋_GB2312" w:cs="宋体"/>
          <w:bCs/>
          <w:kern w:val="0"/>
          <w:sz w:val="32"/>
          <w:szCs w:val="32"/>
        </w:rPr>
      </w:pPr>
      <w:bookmarkStart w:id="42" w:name="_Toc8884"/>
      <w:bookmarkStart w:id="43" w:name="_Toc5626"/>
      <w:r>
        <w:rPr>
          <w:rFonts w:hint="eastAsia" w:ascii="黑体" w:hAnsi="黑体" w:eastAsia="仿宋_GB2312" w:cs="宋体"/>
          <w:bCs/>
          <w:kern w:val="0"/>
          <w:sz w:val="32"/>
          <w:szCs w:val="32"/>
        </w:rPr>
        <w:t>六、《一般公共预算财政拨款基本支出决算表》</w:t>
      </w:r>
      <w:bookmarkEnd w:id="42"/>
      <w:bookmarkEnd w:id="43"/>
    </w:p>
    <w:p>
      <w:pPr>
        <w:ind w:firstLine="640" w:firstLineChars="200"/>
        <w:outlineLvl w:val="1"/>
        <w:rPr>
          <w:rFonts w:ascii="黑体" w:hAnsi="黑体" w:eastAsia="仿宋_GB2312" w:cs="宋体"/>
          <w:bCs/>
          <w:kern w:val="0"/>
          <w:sz w:val="32"/>
          <w:szCs w:val="32"/>
        </w:rPr>
      </w:pPr>
      <w:r>
        <w:rPr>
          <w:rFonts w:hint="eastAsia" w:ascii="黑体" w:hAnsi="黑体" w:eastAsia="仿宋_GB2312" w:cs="宋体"/>
          <w:bCs/>
          <w:kern w:val="0"/>
          <w:sz w:val="32"/>
          <w:szCs w:val="32"/>
        </w:rPr>
        <w:t>七、</w:t>
      </w:r>
      <w:bookmarkStart w:id="44" w:name="_Toc32663"/>
      <w:bookmarkStart w:id="45" w:name="_Toc29106"/>
      <w:r>
        <w:rPr>
          <w:rFonts w:hint="eastAsia" w:ascii="黑体" w:hAnsi="黑体" w:eastAsia="仿宋_GB2312" w:cs="宋体"/>
          <w:bCs/>
          <w:kern w:val="0"/>
          <w:sz w:val="32"/>
          <w:szCs w:val="32"/>
        </w:rPr>
        <w:t>《财政拨款“三公”经费支出决算表》</w:t>
      </w:r>
      <w:bookmarkEnd w:id="44"/>
      <w:bookmarkEnd w:id="45"/>
    </w:p>
    <w:p>
      <w:pPr>
        <w:ind w:firstLine="640" w:firstLineChars="200"/>
        <w:outlineLvl w:val="1"/>
        <w:rPr>
          <w:rFonts w:ascii="黑体" w:hAnsi="黑体" w:eastAsia="仿宋_GB2312" w:cs="宋体"/>
          <w:bCs/>
          <w:kern w:val="0"/>
          <w:sz w:val="32"/>
          <w:szCs w:val="32"/>
        </w:rPr>
      </w:pPr>
      <w:bookmarkStart w:id="46" w:name="_Toc5453"/>
      <w:bookmarkStart w:id="47" w:name="_Toc7643"/>
      <w:r>
        <w:rPr>
          <w:rFonts w:hint="eastAsia" w:ascii="黑体" w:hAnsi="黑体" w:eastAsia="仿宋_GB2312" w:cs="宋体"/>
          <w:bCs/>
          <w:kern w:val="0"/>
          <w:sz w:val="32"/>
          <w:szCs w:val="32"/>
        </w:rPr>
        <w:t>八、《政府性基金预算财政拨款收入支出决算表》</w:t>
      </w:r>
      <w:bookmarkEnd w:id="46"/>
      <w:bookmarkEnd w:id="47"/>
    </w:p>
    <w:p>
      <w:pPr>
        <w:ind w:firstLine="640" w:firstLineChars="200"/>
        <w:outlineLvl w:val="1"/>
        <w:rPr>
          <w:rFonts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pPr>
        <w:ind w:firstLine="640" w:firstLineChars="200"/>
        <w:rPr>
          <w:rFonts w:ascii="仿宋_GB2312" w:eastAsia="仿宋_GB2312"/>
          <w:sz w:val="32"/>
          <w:szCs w:val="32"/>
        </w:rPr>
      </w:pPr>
    </w:p>
    <w:p>
      <w:pPr>
        <w:ind w:firstLine="640" w:firstLineChars="200"/>
        <w:outlineLvl w:val="1"/>
        <w:rPr>
          <w:rFonts w:ascii="黑体" w:hAnsi="黑体" w:eastAsia="黑体" w:cs="宋体"/>
          <w:bCs/>
          <w:kern w:val="0"/>
          <w:sz w:val="32"/>
          <w:szCs w:val="3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7"/>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pPr>
                      <w:pStyle w:val="7"/>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RkODVjYjE4NzYwZjYyOTc5YTMxNTM3MzlmZDA2NTAifQ=="/>
    <w:docVar w:name="KSO_WPS_MARK_KEY" w:val="41ee2a61-2d54-4f93-83be-afdb9a40d732"/>
  </w:docVars>
  <w:rsids>
    <w:rsidRoot w:val="00111784"/>
    <w:rsid w:val="00111784"/>
    <w:rsid w:val="00175024"/>
    <w:rsid w:val="00213C59"/>
    <w:rsid w:val="003210CE"/>
    <w:rsid w:val="003452D1"/>
    <w:rsid w:val="00403D24"/>
    <w:rsid w:val="00532D01"/>
    <w:rsid w:val="00564E43"/>
    <w:rsid w:val="0086763D"/>
    <w:rsid w:val="00B70D59"/>
    <w:rsid w:val="00F52A8D"/>
    <w:rsid w:val="00F742A4"/>
    <w:rsid w:val="019404F8"/>
    <w:rsid w:val="02BD3108"/>
    <w:rsid w:val="02F73D26"/>
    <w:rsid w:val="034D4FEF"/>
    <w:rsid w:val="035D1785"/>
    <w:rsid w:val="039F47CE"/>
    <w:rsid w:val="03A043ED"/>
    <w:rsid w:val="03E05CE8"/>
    <w:rsid w:val="03F973EE"/>
    <w:rsid w:val="043E5B56"/>
    <w:rsid w:val="04C04386"/>
    <w:rsid w:val="04D96608"/>
    <w:rsid w:val="04FA68C4"/>
    <w:rsid w:val="053F5AE6"/>
    <w:rsid w:val="057C0B0F"/>
    <w:rsid w:val="05EF4B48"/>
    <w:rsid w:val="05F76ECA"/>
    <w:rsid w:val="06792773"/>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AE91954"/>
    <w:rsid w:val="0B354AFA"/>
    <w:rsid w:val="0B61769D"/>
    <w:rsid w:val="0B8C3ECC"/>
    <w:rsid w:val="0B9C639D"/>
    <w:rsid w:val="0BB052B2"/>
    <w:rsid w:val="0BD33FFC"/>
    <w:rsid w:val="0BE97AC1"/>
    <w:rsid w:val="0C1C4780"/>
    <w:rsid w:val="0C3613A3"/>
    <w:rsid w:val="0C3E3684"/>
    <w:rsid w:val="0C5E519C"/>
    <w:rsid w:val="0C7227A7"/>
    <w:rsid w:val="0CA52EE8"/>
    <w:rsid w:val="0CBD6988"/>
    <w:rsid w:val="0CD208AC"/>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51225"/>
    <w:rsid w:val="12F7068C"/>
    <w:rsid w:val="14207DC0"/>
    <w:rsid w:val="14B932DA"/>
    <w:rsid w:val="14D90495"/>
    <w:rsid w:val="150A66AF"/>
    <w:rsid w:val="154C1139"/>
    <w:rsid w:val="158C5B77"/>
    <w:rsid w:val="160D1149"/>
    <w:rsid w:val="163563C0"/>
    <w:rsid w:val="164315EF"/>
    <w:rsid w:val="16557DFE"/>
    <w:rsid w:val="167268FB"/>
    <w:rsid w:val="16770D0A"/>
    <w:rsid w:val="16A15219"/>
    <w:rsid w:val="16D50C50"/>
    <w:rsid w:val="16E120E1"/>
    <w:rsid w:val="17385A05"/>
    <w:rsid w:val="173B3901"/>
    <w:rsid w:val="176747F9"/>
    <w:rsid w:val="17954A6E"/>
    <w:rsid w:val="180059E9"/>
    <w:rsid w:val="184510FD"/>
    <w:rsid w:val="189A5F9C"/>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60FB4"/>
    <w:rsid w:val="1E97358B"/>
    <w:rsid w:val="1EAA4A5F"/>
    <w:rsid w:val="1EE869A7"/>
    <w:rsid w:val="1FA15E62"/>
    <w:rsid w:val="1FED69B6"/>
    <w:rsid w:val="2064678E"/>
    <w:rsid w:val="20DC1AB9"/>
    <w:rsid w:val="20DD6197"/>
    <w:rsid w:val="212631E0"/>
    <w:rsid w:val="21A53757"/>
    <w:rsid w:val="221236C6"/>
    <w:rsid w:val="22D7662C"/>
    <w:rsid w:val="23326B7F"/>
    <w:rsid w:val="2380045B"/>
    <w:rsid w:val="23BC04D2"/>
    <w:rsid w:val="23EF1892"/>
    <w:rsid w:val="241E1AB0"/>
    <w:rsid w:val="2483647E"/>
    <w:rsid w:val="24A32D55"/>
    <w:rsid w:val="25292727"/>
    <w:rsid w:val="252E5CA9"/>
    <w:rsid w:val="256F7692"/>
    <w:rsid w:val="25BA2154"/>
    <w:rsid w:val="25C8773F"/>
    <w:rsid w:val="264A7253"/>
    <w:rsid w:val="26F0170C"/>
    <w:rsid w:val="27201D62"/>
    <w:rsid w:val="27286E73"/>
    <w:rsid w:val="27CF2642"/>
    <w:rsid w:val="27E777F5"/>
    <w:rsid w:val="27EA1D4C"/>
    <w:rsid w:val="27EA2E41"/>
    <w:rsid w:val="282459E2"/>
    <w:rsid w:val="283A7FE5"/>
    <w:rsid w:val="285F51FF"/>
    <w:rsid w:val="28DF2665"/>
    <w:rsid w:val="29072599"/>
    <w:rsid w:val="291029F3"/>
    <w:rsid w:val="29CB58F0"/>
    <w:rsid w:val="2A053397"/>
    <w:rsid w:val="2A145E96"/>
    <w:rsid w:val="2A2131BB"/>
    <w:rsid w:val="2AF5378F"/>
    <w:rsid w:val="2B30453E"/>
    <w:rsid w:val="2BB94DBF"/>
    <w:rsid w:val="2C6F314E"/>
    <w:rsid w:val="2CC206BE"/>
    <w:rsid w:val="2D1136DF"/>
    <w:rsid w:val="2D20606D"/>
    <w:rsid w:val="2DB87198"/>
    <w:rsid w:val="2DB93C54"/>
    <w:rsid w:val="2E3D144C"/>
    <w:rsid w:val="2E891204"/>
    <w:rsid w:val="2F3F0A28"/>
    <w:rsid w:val="2FBF7029"/>
    <w:rsid w:val="2FD0187F"/>
    <w:rsid w:val="2FD27414"/>
    <w:rsid w:val="2FFE4BB0"/>
    <w:rsid w:val="300E7B60"/>
    <w:rsid w:val="300F6E18"/>
    <w:rsid w:val="30862F5F"/>
    <w:rsid w:val="314029C9"/>
    <w:rsid w:val="31C63837"/>
    <w:rsid w:val="31C82E39"/>
    <w:rsid w:val="32601BAD"/>
    <w:rsid w:val="329F6389"/>
    <w:rsid w:val="3389023A"/>
    <w:rsid w:val="33CB74FA"/>
    <w:rsid w:val="343642F2"/>
    <w:rsid w:val="343F3010"/>
    <w:rsid w:val="345D0A00"/>
    <w:rsid w:val="34713BFD"/>
    <w:rsid w:val="34C13589"/>
    <w:rsid w:val="353369E3"/>
    <w:rsid w:val="35E00D72"/>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A0A26D2"/>
    <w:rsid w:val="4A2019A5"/>
    <w:rsid w:val="4A241A0B"/>
    <w:rsid w:val="4A7B2875"/>
    <w:rsid w:val="4A934476"/>
    <w:rsid w:val="4AAA220A"/>
    <w:rsid w:val="4AE12E67"/>
    <w:rsid w:val="4B4C0111"/>
    <w:rsid w:val="4B8553A9"/>
    <w:rsid w:val="4BDB3730"/>
    <w:rsid w:val="4C200F7A"/>
    <w:rsid w:val="4CE90CC5"/>
    <w:rsid w:val="4CEE3180"/>
    <w:rsid w:val="4D0F4AF6"/>
    <w:rsid w:val="4DF94F37"/>
    <w:rsid w:val="4E0A1DD5"/>
    <w:rsid w:val="4E3160E5"/>
    <w:rsid w:val="4E4D37AF"/>
    <w:rsid w:val="4E8C6496"/>
    <w:rsid w:val="4EFD18DE"/>
    <w:rsid w:val="4F144236"/>
    <w:rsid w:val="4F663C87"/>
    <w:rsid w:val="4F7E29A8"/>
    <w:rsid w:val="4F9E1FFC"/>
    <w:rsid w:val="5043586B"/>
    <w:rsid w:val="50447CC2"/>
    <w:rsid w:val="50874A7C"/>
    <w:rsid w:val="50895EE7"/>
    <w:rsid w:val="50921B9D"/>
    <w:rsid w:val="50D16158"/>
    <w:rsid w:val="50DB5F45"/>
    <w:rsid w:val="51025EB1"/>
    <w:rsid w:val="51141503"/>
    <w:rsid w:val="518D0ED5"/>
    <w:rsid w:val="523B1AF7"/>
    <w:rsid w:val="525C687F"/>
    <w:rsid w:val="52F647F7"/>
    <w:rsid w:val="52F92565"/>
    <w:rsid w:val="53D03877"/>
    <w:rsid w:val="542F73CA"/>
    <w:rsid w:val="5430786D"/>
    <w:rsid w:val="545A1D2A"/>
    <w:rsid w:val="54C811C0"/>
    <w:rsid w:val="556A442D"/>
    <w:rsid w:val="55747599"/>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A60780B"/>
    <w:rsid w:val="5AB34579"/>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3D5080"/>
    <w:rsid w:val="60D0261B"/>
    <w:rsid w:val="618E3791"/>
    <w:rsid w:val="61947DCA"/>
    <w:rsid w:val="61A46A97"/>
    <w:rsid w:val="61D1382F"/>
    <w:rsid w:val="61F114A2"/>
    <w:rsid w:val="622B0ABA"/>
    <w:rsid w:val="62512BB4"/>
    <w:rsid w:val="625D7D1A"/>
    <w:rsid w:val="62DD7D21"/>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B68175F"/>
    <w:rsid w:val="6BFD799F"/>
    <w:rsid w:val="6C4A2E5A"/>
    <w:rsid w:val="6C8138D0"/>
    <w:rsid w:val="6CEF0725"/>
    <w:rsid w:val="6D4B2604"/>
    <w:rsid w:val="6D8030E4"/>
    <w:rsid w:val="6E0E35C4"/>
    <w:rsid w:val="6E0F7A08"/>
    <w:rsid w:val="6E3947F5"/>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C7248A0"/>
    <w:rsid w:val="7C976D69"/>
    <w:rsid w:val="7CC55499"/>
    <w:rsid w:val="7CD752DA"/>
    <w:rsid w:val="7CDE40AB"/>
    <w:rsid w:val="7CF057E2"/>
    <w:rsid w:val="7D1548B5"/>
    <w:rsid w:val="7DF84014"/>
    <w:rsid w:val="7E207949"/>
    <w:rsid w:val="7E5C0A47"/>
    <w:rsid w:val="7E670C75"/>
    <w:rsid w:val="7EE24272"/>
    <w:rsid w:val="7EEA6053"/>
    <w:rsid w:val="7F487C04"/>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3">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2">
    <w:name w:val="Body Text First Indent 2"/>
    <w:basedOn w:val="3"/>
    <w:next w:val="1"/>
    <w:qFormat/>
    <w:uiPriority w:val="0"/>
    <w:pPr>
      <w:ind w:firstLine="420" w:firstLineChars="200"/>
    </w:pPr>
  </w:style>
  <w:style w:type="paragraph" w:styleId="3">
    <w:name w:val="Body Text Indent"/>
    <w:basedOn w:val="1"/>
    <w:next w:val="4"/>
    <w:qFormat/>
    <w:uiPriority w:val="0"/>
    <w:pPr>
      <w:ind w:left="420" w:firstLine="630" w:firstLineChars="210"/>
    </w:pPr>
    <w:rPr>
      <w:rFonts w:ascii="仿宋_GB2312" w:hAnsi="宋体" w:eastAsia="仿宋_GB2312"/>
      <w:sz w:val="30"/>
      <w:szCs w:val="30"/>
    </w:rPr>
  </w:style>
  <w:style w:type="paragraph" w:styleId="4">
    <w:name w:val="Body Text"/>
    <w:basedOn w:val="1"/>
    <w:next w:val="1"/>
    <w:qFormat/>
    <w:uiPriority w:val="0"/>
    <w:pPr>
      <w:ind w:left="180"/>
    </w:pPr>
    <w:rPr>
      <w:rFonts w:ascii="宋体" w:hAnsi="宋体" w:cs="宋体"/>
      <w:szCs w:val="21"/>
      <w:lang w:val="zh-CN" w:bidi="zh-CN"/>
    </w:rPr>
  </w:style>
  <w:style w:type="paragraph" w:styleId="5">
    <w:name w:val="annotation text"/>
    <w:basedOn w:val="1"/>
    <w:qFormat/>
    <w:uiPriority w:val="0"/>
    <w:pPr>
      <w:jc w:val="left"/>
    </w:pPr>
  </w:style>
  <w:style w:type="paragraph" w:styleId="6">
    <w:name w:val="toc 3"/>
    <w:basedOn w:val="1"/>
    <w:next w:val="1"/>
    <w:qFormat/>
    <w:uiPriority w:val="0"/>
    <w:pPr>
      <w:ind w:left="840" w:leftChars="400"/>
    </w:p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toc 1"/>
    <w:basedOn w:val="1"/>
    <w:next w:val="1"/>
    <w:qFormat/>
    <w:uiPriority w:val="0"/>
  </w:style>
  <w:style w:type="paragraph" w:styleId="10">
    <w:name w:val="toc 2"/>
    <w:basedOn w:val="1"/>
    <w:next w:val="1"/>
    <w:qFormat/>
    <w:uiPriority w:val="0"/>
    <w:pPr>
      <w:ind w:left="420" w:leftChars="200"/>
    </w:pPr>
  </w:style>
  <w:style w:type="paragraph" w:styleId="11">
    <w:name w:val="Normal (Web)"/>
    <w:basedOn w:val="1"/>
    <w:qFormat/>
    <w:uiPriority w:val="0"/>
    <w:pPr>
      <w:spacing w:before="100" w:beforeAutospacing="1" w:after="100" w:afterAutospacing="1"/>
      <w:jc w:val="left"/>
    </w:pPr>
    <w:rPr>
      <w:kern w:val="0"/>
      <w:sz w:val="24"/>
    </w:rPr>
  </w:style>
  <w:style w:type="character" w:styleId="14">
    <w:name w:val="Strong"/>
    <w:basedOn w:val="13"/>
    <w:qFormat/>
    <w:uiPriority w:val="0"/>
    <w:rPr>
      <w:b/>
    </w:rPr>
  </w:style>
  <w:style w:type="paragraph" w:customStyle="1" w:styleId="15">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6">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7">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1022</Words>
  <Characters>5832</Characters>
  <Lines>48</Lines>
  <Paragraphs>13</Paragraphs>
  <TotalTime>22</TotalTime>
  <ScaleCrop>false</ScaleCrop>
  <LinksUpToDate>false</LinksUpToDate>
  <CharactersWithSpaces>6841</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dcterms:modified xsi:type="dcterms:W3CDTF">2024-10-14T10:39:38Z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D624B15633CD43C8BF9435464A96BF70</vt:lpwstr>
  </property>
</Properties>
</file>