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新疆维吾尔自治区科学技术厅机关服务中心</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567"/>
      <w:bookmarkStart w:id="3" w:name="_Toc30738"/>
      <w:r>
        <w:rPr>
          <w:rFonts w:hint="eastAsia" w:ascii="黑体" w:hAnsi="黑体" w:eastAsia="黑体" w:cs="宋体"/>
          <w:bCs/>
          <w:color w:val="auto"/>
          <w:kern w:val="0"/>
          <w:sz w:val="32"/>
          <w:szCs w:val="32"/>
          <w:highlight w:val="none"/>
        </w:rPr>
        <w:t>一、主要职能</w:t>
      </w:r>
      <w:bookmarkEnd w:id="2"/>
      <w:bookmarkEnd w:id="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bookmarkStart w:id="4" w:name="_Toc31238"/>
      <w:bookmarkStart w:id="5" w:name="_Toc2151"/>
      <w:r>
        <w:rPr>
          <w:rFonts w:hint="eastAsia" w:ascii="仿宋_GB2312" w:eastAsia="仿宋_GB2312"/>
          <w:color w:val="auto"/>
          <w:sz w:val="32"/>
          <w:szCs w:val="32"/>
          <w:highlight w:val="none"/>
          <w:lang w:val="en-US" w:eastAsia="zh-CN"/>
        </w:rPr>
        <w:t>为机关办公提供服务保障，厅机关后勤服务。如：物业管理、水电暖维修、房屋维修、卫生绿化、房产管理和车辆保障等。</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b/>
          <w:color w:val="auto"/>
          <w:sz w:val="32"/>
          <w:szCs w:val="32"/>
          <w:highlight w:val="none"/>
        </w:rPr>
      </w:pPr>
      <w:r>
        <w:rPr>
          <w:rFonts w:hint="eastAsia" w:ascii="仿宋_GB2312" w:eastAsia="仿宋_GB2312"/>
          <w:color w:val="auto"/>
          <w:sz w:val="32"/>
          <w:szCs w:val="32"/>
          <w:highlight w:val="none"/>
          <w:lang w:val="en-US" w:eastAsia="zh-CN"/>
        </w:rPr>
        <w:t>新疆维吾尔自治区科学技术厅机关服务中心</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43</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18</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0</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25</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单位无下属预算单位，下设5个科室，分别是：办公室、物业科、工程科、资产科和车队。</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29374"/>
      <w:bookmarkStart w:id="7" w:name="_Toc3092"/>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509.02万元，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565.51万元，使用非财政拨款结余0.00万元，年初结转和结余-56.49万元。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509.02万元，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552.07万元，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0.00万元，年末结转和结余-43.05万元。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减少60.16万元</w:t>
      </w:r>
      <w:r>
        <w:rPr>
          <w:rFonts w:hint="eastAsia" w:ascii="仿宋_GB2312" w:eastAsia="仿宋_GB2312"/>
          <w:color w:val="auto"/>
          <w:spacing w:val="0"/>
          <w:sz w:val="32"/>
          <w:szCs w:val="32"/>
          <w:highlight w:val="none"/>
          <w:lang w:eastAsia="zh-CN"/>
        </w:rPr>
        <w:t>，下降10.57%，主要原因是：</w:t>
      </w:r>
      <w:r>
        <w:rPr>
          <w:rFonts w:hint="eastAsia" w:ascii="仿宋_GB2312" w:eastAsia="仿宋_GB2312"/>
          <w:color w:val="auto"/>
          <w:spacing w:val="0"/>
          <w:sz w:val="32"/>
          <w:szCs w:val="32"/>
          <w:highlight w:val="none"/>
          <w:lang w:val="en-US" w:eastAsia="zh-CN"/>
        </w:rPr>
        <w:t>2023年减少退休人员的医疗费收入支出，原社保退休职工医疗费补差收入支出减少，结亲交通费收入支出减少；由于业务原因，经营收入支出减少。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979"/>
      <w:bookmarkStart w:id="11" w:name="_Toc12142"/>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565.51</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466.95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82.57</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98.35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17.39</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0.21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0.04</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27961"/>
      <w:bookmarkStart w:id="13" w:name="_Toc1320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本年支出552.07万元，其中：基本支出452.76万元，占82.01%；项目支出14.40万元，占2.61%；上缴上级支出0.00万元，占0.00%；经营支出84.91万元，占15.38%；对附属单位补助支出0.00万元，占0.00%。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466.95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466.95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466.95</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466.95</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减少43.29万元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下降8.48%,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2023年减少退休人员的医疗费收入支出，原社保退休职工医疗费补差收入支出减少，结亲交通费收入支出减少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433.53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466.95</w:t>
      </w:r>
      <w:r>
        <w:rPr>
          <w:rFonts w:hint="eastAsia" w:ascii="仿宋_GB2312" w:eastAsia="仿宋_GB2312"/>
          <w:color w:val="auto"/>
          <w:spacing w:val="0"/>
          <w:sz w:val="32"/>
          <w:szCs w:val="32"/>
          <w:highlight w:val="none"/>
          <w:lang w:eastAsia="zh-CN"/>
        </w:rPr>
        <w:t>万元，预决算差异率7.71%，主要原因是：</w:t>
      </w:r>
      <w:r>
        <w:rPr>
          <w:rFonts w:hint="eastAsia" w:ascii="仿宋_GB2312" w:eastAsia="仿宋_GB2312"/>
          <w:color w:val="auto"/>
          <w:spacing w:val="0"/>
          <w:sz w:val="32"/>
          <w:szCs w:val="32"/>
          <w:highlight w:val="none"/>
          <w:lang w:val="en-US" w:eastAsia="zh-CN"/>
        </w:rPr>
        <w:t>2023年追加</w:t>
      </w:r>
      <w:r>
        <w:rPr>
          <w:rFonts w:hint="eastAsia" w:ascii="仿宋_GB2312" w:eastAsia="仿宋_GB2312"/>
          <w:sz w:val="32"/>
          <w:szCs w:val="32"/>
        </w:rPr>
        <w:t>人员工资</w:t>
      </w:r>
      <w:r>
        <w:rPr>
          <w:rFonts w:hint="eastAsia" w:ascii="仿宋_GB2312" w:eastAsia="仿宋_GB2312"/>
          <w:sz w:val="32"/>
          <w:szCs w:val="32"/>
          <w:lang w:eastAsia="zh-CN"/>
        </w:rPr>
        <w:t>、职业年金、丧葬费和抚恤金等</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2023年度一般公共预算财政拨款支出466.95万元，占本年支出合计的</w:t>
      </w:r>
      <w:r>
        <w:rPr>
          <w:rFonts w:hint="eastAsia" w:ascii="仿宋_GB2312" w:eastAsia="仿宋_GB2312"/>
          <w:color w:val="auto"/>
          <w:spacing w:val="0"/>
          <w:sz w:val="32"/>
          <w:szCs w:val="32"/>
          <w:highlight w:val="none"/>
          <w:lang w:val="zh-CN" w:eastAsia="zh-CN"/>
        </w:rPr>
        <w:t>84.58%</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减少43.29万元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下降8.48%,</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2023年减少退休人员的医疗费支出，原社保退休职工医疗费补差支出减少，结亲交通费减少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433.53</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466.95</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7.71%</w:t>
      </w:r>
      <w:r>
        <w:rPr>
          <w:rFonts w:hint="eastAsia" w:ascii="仿宋_GB2312" w:eastAsia="仿宋_GB2312"/>
          <w:color w:val="auto"/>
          <w:spacing w:val="0"/>
          <w:sz w:val="32"/>
          <w:szCs w:val="32"/>
          <w:highlight w:val="none"/>
          <w:lang w:eastAsia="zh-CN"/>
        </w:rPr>
        <w:t>，主要原因是：</w:t>
      </w:r>
      <w:r>
        <w:rPr>
          <w:rFonts w:hint="eastAsia" w:ascii="仿宋_GB2312" w:eastAsia="仿宋_GB2312"/>
          <w:color w:val="auto"/>
          <w:spacing w:val="0"/>
          <w:sz w:val="32"/>
          <w:szCs w:val="32"/>
          <w:highlight w:val="none"/>
          <w:lang w:val="en-US" w:eastAsia="zh-CN"/>
        </w:rPr>
        <w:t>2023年增加</w:t>
      </w:r>
      <w:r>
        <w:rPr>
          <w:rFonts w:hint="eastAsia" w:ascii="仿宋_GB2312" w:eastAsia="仿宋_GB2312"/>
          <w:sz w:val="32"/>
          <w:szCs w:val="32"/>
        </w:rPr>
        <w:t>人员工资</w:t>
      </w:r>
      <w:r>
        <w:rPr>
          <w:rFonts w:hint="eastAsia" w:ascii="仿宋_GB2312" w:eastAsia="仿宋_GB2312"/>
          <w:sz w:val="32"/>
          <w:szCs w:val="32"/>
          <w:lang w:eastAsia="zh-CN"/>
        </w:rPr>
        <w:t>、职业年金、丧葬费和抚恤金等支出</w:t>
      </w:r>
      <w:r>
        <w:rPr>
          <w:rFonts w:hint="eastAsia" w:ascii="仿宋_GB2312" w:eastAsia="仿宋_GB2312"/>
          <w:color w:val="auto"/>
          <w:spacing w:val="0"/>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466.95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100.00</w:t>
      </w:r>
      <w:r>
        <w:rPr>
          <w:rFonts w:hint="default" w:ascii="仿宋_GB2312" w:hAnsi="Times New Roman" w:eastAsia="仿宋_GB2312" w:cs="Times New Roman"/>
          <w:color w:val="auto"/>
          <w:spacing w:val="0"/>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1.科学技术支出（类）科学技术管理事务（款）机关服务（项）:支出决算数为452.55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43.29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8.73%，主要原因是：</w:t>
      </w:r>
      <w:r>
        <w:rPr>
          <w:rFonts w:hint="eastAsia" w:ascii="仿宋_GB2312" w:eastAsia="仿宋_GB2312"/>
          <w:color w:val="auto"/>
          <w:spacing w:val="0"/>
          <w:sz w:val="32"/>
          <w:szCs w:val="32"/>
          <w:highlight w:val="none"/>
          <w:lang w:val="en-US" w:eastAsia="zh-CN"/>
        </w:rPr>
        <w:t>2023年减少退休人员的医疗费支出，原社保退休职工医疗费补差支出减少，结亲交通费减少</w:t>
      </w:r>
      <w:r>
        <w:rPr>
          <w:rFonts w:hint="eastAsia" w:ascii="仿宋_GB2312" w:eastAsia="仿宋_GB2312"/>
          <w:color w:val="auto"/>
          <w:spacing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2.科学技术支出（类）科学技术管理事务（款）其他科学技术管理事务支出（项）:支出决算数为14.40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0.00%，主要原因是：</w:t>
      </w:r>
      <w:r>
        <w:rPr>
          <w:rFonts w:hint="eastAsia" w:eastAsia="仿宋_GB2312" w:cs="Times New Roman"/>
          <w:color w:val="auto"/>
          <w:kern w:val="2"/>
          <w:sz w:val="32"/>
          <w:szCs w:val="32"/>
          <w:highlight w:val="none"/>
          <w:lang w:val="en-US" w:eastAsia="zh-CN" w:bidi="ar-SA"/>
        </w:rPr>
        <w:t>单位</w:t>
      </w:r>
      <w:r>
        <w:rPr>
          <w:rFonts w:hint="eastAsia" w:ascii="Times New Roman" w:hAnsi="Times New Roman" w:eastAsia="仿宋_GB2312" w:cs="Times New Roman"/>
          <w:color w:val="auto"/>
          <w:kern w:val="2"/>
          <w:sz w:val="32"/>
          <w:szCs w:val="32"/>
          <w:highlight w:val="none"/>
          <w:lang w:val="en-US" w:eastAsia="zh-CN" w:bidi="ar-SA"/>
        </w:rPr>
        <w:t>其他科学技术管理事务支出</w:t>
      </w:r>
      <w:r>
        <w:rPr>
          <w:rFonts w:hint="eastAsia" w:ascii="仿宋_GB2312" w:eastAsia="仿宋_GB2312"/>
          <w:sz w:val="32"/>
          <w:szCs w:val="32"/>
        </w:rPr>
        <w:t>与上年保持一致。</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452.55</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429.32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退休费、抚恤金、奖励金、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23.22</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办公费、电费、邮电费、取暖费、物业管理费、差旅费、维修（护）费、工会经费、福利费、公务用车运行维护费、其他商品和服务支出。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“三公”经费支出1.13万元，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减少0.04万元，</w:t>
      </w:r>
      <w:r>
        <w:rPr>
          <w:rFonts w:hint="eastAsia" w:ascii="仿宋_GB2312" w:eastAsia="仿宋_GB2312"/>
          <w:color w:val="auto"/>
          <w:spacing w:val="0"/>
          <w:sz w:val="32"/>
          <w:szCs w:val="32"/>
          <w:highlight w:val="none"/>
          <w:lang w:val="en-US" w:eastAsia="zh-CN"/>
        </w:rPr>
        <w:t>下降3.42%,</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厉行节约，压缩公务运行维护费支出</w:t>
      </w:r>
      <w:r>
        <w:rPr>
          <w:rFonts w:hint="eastAsia" w:ascii="仿宋_GB2312" w:eastAsia="仿宋_GB2312"/>
          <w:color w:val="auto"/>
          <w:sz w:val="32"/>
          <w:szCs w:val="32"/>
          <w:highlight w:val="none"/>
          <w:lang w:val="zh-CN" w:eastAsia="zh-CN"/>
        </w:rPr>
        <w:t>。其中：因公出国（境）费支出0.00万元，占0.00%，比上年增加0.00万元，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我单位无因公出国（境）费</w:t>
      </w:r>
      <w:r>
        <w:rPr>
          <w:rFonts w:hint="eastAsia" w:ascii="仿宋_GB2312" w:eastAsia="仿宋_GB2312"/>
          <w:sz w:val="32"/>
          <w:szCs w:val="32"/>
        </w:rPr>
        <w:t>；</w:t>
      </w:r>
      <w:r>
        <w:rPr>
          <w:rFonts w:hint="eastAsia" w:ascii="仿宋_GB2312" w:eastAsia="仿宋_GB2312"/>
          <w:color w:val="auto"/>
          <w:sz w:val="32"/>
          <w:szCs w:val="32"/>
          <w:highlight w:val="none"/>
          <w:lang w:val="zh-CN" w:eastAsia="zh-CN"/>
        </w:rPr>
        <w:t>公务用车购置及运行维护费支出1.13万元，占100.00%，比上年减少0.04万元，</w:t>
      </w:r>
      <w:r>
        <w:rPr>
          <w:rFonts w:hint="eastAsia" w:ascii="仿宋_GB2312" w:eastAsia="仿宋_GB2312"/>
          <w:color w:val="auto"/>
          <w:spacing w:val="0"/>
          <w:sz w:val="32"/>
          <w:szCs w:val="32"/>
          <w:highlight w:val="none"/>
          <w:lang w:val="en-US" w:eastAsia="zh-CN"/>
        </w:rPr>
        <w:t>下降3.42%,</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厉行节约，压缩公务运行维护费支出</w:t>
      </w:r>
      <w:r>
        <w:rPr>
          <w:rFonts w:hint="eastAsia" w:ascii="仿宋_GB2312" w:eastAsia="仿宋_GB2312"/>
          <w:color w:val="auto"/>
          <w:sz w:val="32"/>
          <w:szCs w:val="32"/>
          <w:highlight w:val="none"/>
          <w:lang w:val="zh-CN" w:eastAsia="zh-CN"/>
        </w:rPr>
        <w:t>；公务接待费支出0.00万元，占0.00%，比上年增加0.00万元，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w:t>
      </w:r>
      <w:r>
        <w:rPr>
          <w:rFonts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zh-CN" w:eastAsia="zh-CN"/>
        </w:rPr>
        <w:t>公务用车购置及运行维护费1.13万元，其中：公务用车购置费0.00万元，公务用车运行维护费1.13万元。公务用车运行维护费开支内容包括</w:t>
      </w:r>
      <w:r>
        <w:rPr>
          <w:rFonts w:hint="eastAsia" w:ascii="仿宋_GB2312" w:eastAsia="仿宋_GB2312"/>
          <w:sz w:val="32"/>
          <w:szCs w:val="32"/>
        </w:rPr>
        <w:t>燃料费、维修费、保险费、过桥过路费等</w:t>
      </w:r>
      <w:r>
        <w:rPr>
          <w:rFonts w:hint="eastAsia" w:ascii="仿宋_GB2312" w:eastAsia="仿宋_GB2312"/>
          <w:color w:val="auto"/>
          <w:sz w:val="32"/>
          <w:szCs w:val="32"/>
          <w:highlight w:val="none"/>
          <w:lang w:val="zh-CN" w:eastAsia="zh-CN"/>
        </w:rPr>
        <w:t>。公务用车购置数0辆，公务用车保有量1辆。国有资产占用情况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1辆，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原因是：保持一致。</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。单位全年安排的国内公务接待0批次，0人次。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预算数1.13万元，决算数1.13万元，预决算差异率0.00%，主要原因是：</w:t>
      </w:r>
      <w:r>
        <w:rPr>
          <w:rFonts w:hint="eastAsia" w:ascii="仿宋_GB2312" w:eastAsia="仿宋_GB2312"/>
          <w:sz w:val="32"/>
          <w:szCs w:val="32"/>
        </w:rPr>
        <w:t>厉行节约，按预算执行</w:t>
      </w:r>
      <w:r>
        <w:rPr>
          <w:rFonts w:hint="eastAsia" w:ascii="仿宋_GB2312" w:eastAsia="仿宋_GB2312"/>
          <w:color w:val="auto"/>
          <w:sz w:val="32"/>
          <w:szCs w:val="32"/>
          <w:highlight w:val="none"/>
          <w:lang w:val="zh-CN" w:eastAsia="zh-CN"/>
        </w:rPr>
        <w:t>。其中：因公出国（境）费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w:t>
      </w:r>
      <w:r>
        <w:rPr>
          <w:rFonts w:hint="eastAsia" w:ascii="仿宋_GB2312" w:eastAsia="仿宋_GB2312"/>
          <w:sz w:val="32"/>
          <w:szCs w:val="32"/>
        </w:rPr>
        <w:t>我单位无因公出国（境）费</w:t>
      </w:r>
      <w:r>
        <w:rPr>
          <w:rFonts w:hint="eastAsia" w:ascii="仿宋_GB2312" w:eastAsia="仿宋_GB2312"/>
          <w:color w:val="auto"/>
          <w:sz w:val="32"/>
          <w:szCs w:val="32"/>
          <w:highlight w:val="none"/>
          <w:lang w:val="zh-CN" w:eastAsia="zh-CN"/>
        </w:rPr>
        <w:t>；公务用车购置费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我单位无公务用车购置费</w:t>
      </w:r>
      <w:r>
        <w:rPr>
          <w:rFonts w:hint="eastAsia" w:ascii="仿宋_GB2312" w:eastAsia="仿宋_GB2312"/>
          <w:color w:val="auto"/>
          <w:sz w:val="32"/>
          <w:szCs w:val="32"/>
          <w:highlight w:val="none"/>
          <w:lang w:val="zh-CN" w:eastAsia="zh-CN"/>
        </w:rPr>
        <w:t>；公务用车运行费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预算数1.13万元，决算数1.13万元，预决算差异率0.00%，主要原因是：</w:t>
      </w:r>
      <w:r>
        <w:rPr>
          <w:rFonts w:hint="eastAsia" w:ascii="仿宋_GB2312" w:eastAsia="仿宋_GB2312"/>
          <w:sz w:val="32"/>
          <w:szCs w:val="32"/>
        </w:rPr>
        <w:t>厉行节约，按预算执行</w:t>
      </w:r>
      <w:r>
        <w:rPr>
          <w:rFonts w:hint="eastAsia" w:ascii="仿宋_GB2312" w:eastAsia="仿宋_GB2312"/>
          <w:color w:val="auto"/>
          <w:sz w:val="32"/>
          <w:szCs w:val="32"/>
          <w:highlight w:val="none"/>
          <w:lang w:val="zh-CN" w:eastAsia="zh-CN"/>
        </w:rPr>
        <w:t>；公务接待费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w:t>
      </w:r>
      <w:r>
        <w:rPr>
          <w:rFonts w:hint="eastAsia" w:ascii="仿宋_GB2312" w:eastAsia="仿宋_GB2312"/>
          <w:sz w:val="32"/>
          <w:szCs w:val="32"/>
        </w:rPr>
        <w:t>我单位无公务接待费</w:t>
      </w:r>
      <w:r>
        <w:rPr>
          <w:rFonts w:hint="eastAsia" w:ascii="仿宋_GB2312" w:eastAsia="仿宋_GB2312"/>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Times New Roman" w:hAnsi="Times New Roman" w:eastAsia="仿宋_GB2312" w:cs="Times New Roman"/>
          <w:color w:val="auto"/>
          <w:sz w:val="32"/>
          <w:szCs w:val="32"/>
          <w:highlight w:val="none"/>
          <w:lang w:val="en-US"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新疆维吾尔自治区科学技术厅机关服务中心（事业单位）公用经费支出23.22万元，</w:t>
      </w:r>
      <w:r>
        <w:rPr>
          <w:rFonts w:hint="eastAsia" w:ascii="Times New Roman" w:hAnsi="Times New Roman" w:eastAsia="仿宋_GB2312" w:cs="Times New Roman"/>
          <w:color w:val="auto"/>
          <w:sz w:val="32"/>
          <w:szCs w:val="32"/>
          <w:highlight w:val="none"/>
          <w:lang w:val="zh-CN" w:eastAsia="zh-CN"/>
        </w:rPr>
        <w:t>比上年减少5.48万元，下降19.10%，主要原因是：</w:t>
      </w:r>
      <w:r>
        <w:rPr>
          <w:rFonts w:hint="eastAsia" w:ascii="仿宋_GB2312" w:eastAsia="仿宋_GB2312"/>
          <w:sz w:val="32"/>
          <w:szCs w:val="32"/>
          <w:lang w:val="en-US" w:eastAsia="zh-CN"/>
        </w:rPr>
        <w:t>2023年将职工的取暖费调整到工资福利支出-职工取暖费，相应的取暖费支出减少；结亲交通费减少。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2.35万元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其中：政府采购货物支出1.64万元、政府采购工程支出0.00万元、政府采购服务支出0.70万元。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授予中小企业合同金额2.35万元，占政府采购支出总额的100.00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，其中：授予小微企业合同金额1.99万元，占政府采购支出总额的</w:t>
      </w:r>
      <w:r>
        <w:rPr>
          <w:rFonts w:hint="eastAsia" w:ascii="仿宋_GB2312" w:hAnsi="仿宋_GB2312" w:eastAsia="仿宋_GB2312" w:cs="仿宋_GB2312"/>
          <w:color w:val="auto"/>
          <w:sz w:val="32"/>
          <w:szCs w:val="32"/>
          <w:highlight w:val="none"/>
          <w:lang w:val="zh-CN" w:eastAsia="zh-CN"/>
        </w:rPr>
        <w:t>84.68</w:t>
      </w:r>
      <w:bookmarkStart w:id="48" w:name="_GoBack"/>
      <w:bookmarkEnd w:id="48"/>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4591"/>
      <w:bookmarkStart w:id="27" w:name="_Toc83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314.15</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屋2298.14平方米，价值261.00万元。车辆1辆，价值18.07万元，其中：副部（省）级及以上领导用车0辆、主要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用车0辆、其他用车1辆，其他用车主要是：</w:t>
      </w:r>
      <w:r>
        <w:rPr>
          <w:rFonts w:hint="eastAsia" w:ascii="仿宋_GB2312" w:eastAsia="仿宋_GB2312"/>
          <w:sz w:val="32"/>
          <w:szCs w:val="32"/>
        </w:rPr>
        <w:t>一般公务用车</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11283"/>
      <w:bookmarkStart w:id="29" w:name="_Toc4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sz w:val="32"/>
          <w:szCs w:val="32"/>
          <w:highlight w:val="none"/>
          <w:lang w:eastAsia="zh-CN"/>
        </w:rPr>
        <w:t>根据预算绩效管理要求，我单位2023年度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sz w:val="32"/>
          <w:szCs w:val="32"/>
          <w:highlight w:val="none"/>
          <w:lang w:val="en-US" w:eastAsia="zh-CN"/>
        </w:rPr>
        <w:t>0</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sz w:val="32"/>
          <w:szCs w:val="32"/>
          <w:highlight w:val="none"/>
          <w:lang w:val="en-US" w:eastAsia="zh-CN"/>
        </w:rPr>
        <w:t>预算总额0</w:t>
      </w:r>
      <w:r>
        <w:rPr>
          <w:rFonts w:hint="eastAsia" w:ascii="仿宋_GB2312" w:eastAsia="仿宋_GB2312"/>
          <w:sz w:val="32"/>
          <w:szCs w:val="32"/>
          <w:highlight w:val="none"/>
        </w:rPr>
        <w:t>万元</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实际执行总额0</w:t>
      </w:r>
      <w:r>
        <w:rPr>
          <w:rFonts w:hint="eastAsia" w:ascii="仿宋_GB2312" w:eastAsia="仿宋_GB2312"/>
          <w:sz w:val="32"/>
          <w:szCs w:val="32"/>
          <w:highlight w:val="none"/>
        </w:rPr>
        <w:t>万元</w:t>
      </w:r>
      <w:r>
        <w:rPr>
          <w:rFonts w:hint="eastAsia" w:ascii="仿宋_GB2312" w:eastAsia="仿宋_GB2312"/>
          <w:sz w:val="32"/>
          <w:szCs w:val="32"/>
          <w:highlight w:val="none"/>
          <w:lang w:val="en-US" w:eastAsia="zh-CN"/>
        </w:rPr>
        <w:t>,我单位整体支出绩效自评是由自治区科技厅（部门）完成</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sz w:val="32"/>
          <w:szCs w:val="32"/>
        </w:rPr>
        <w:t>预算绩效评价项目</w:t>
      </w:r>
      <w:r>
        <w:rPr>
          <w:rFonts w:ascii="仿宋_GB2312" w:eastAsia="仿宋_GB2312"/>
          <w:sz w:val="32"/>
          <w:szCs w:val="32"/>
        </w:rPr>
        <w:t>2</w:t>
      </w:r>
      <w:r>
        <w:rPr>
          <w:rFonts w:hint="eastAsia" w:ascii="仿宋_GB2312" w:eastAsia="仿宋_GB2312"/>
          <w:sz w:val="32"/>
          <w:szCs w:val="32"/>
        </w:rPr>
        <w:t>个，</w:t>
      </w:r>
      <w:r>
        <w:rPr>
          <w:rFonts w:hint="eastAsia" w:ascii="仿宋_GB2312" w:eastAsia="仿宋_GB2312"/>
          <w:color w:val="auto"/>
          <w:sz w:val="32"/>
          <w:szCs w:val="32"/>
          <w:highlight w:val="none"/>
          <w:lang w:val="en-US" w:eastAsia="zh-CN"/>
        </w:rPr>
        <w:t>全年预算数144.40</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全年执行数99.31</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w:t>
      </w:r>
      <w:r>
        <w:rPr>
          <w:rFonts w:ascii="仿宋_GB2312" w:eastAsia="仿宋_GB2312"/>
          <w:sz w:val="32"/>
          <w:szCs w:val="32"/>
        </w:rPr>
        <w:t>确保资金的高效使用，切实发挥财政资金的使用效果；</w:t>
      </w:r>
      <w:r>
        <w:rPr>
          <w:rFonts w:hint="eastAsia" w:ascii="仿宋_GB2312" w:eastAsia="仿宋_GB2312"/>
          <w:color w:val="auto"/>
          <w:sz w:val="32"/>
          <w:szCs w:val="32"/>
          <w:highlight w:val="none"/>
          <w:lang w:eastAsia="zh-CN"/>
        </w:rPr>
        <w:t>二是</w:t>
      </w:r>
      <w:r>
        <w:rPr>
          <w:rFonts w:ascii="仿宋_GB2312" w:eastAsia="仿宋_GB2312"/>
          <w:sz w:val="32"/>
          <w:szCs w:val="32"/>
        </w:rPr>
        <w:t>严格按照工作职责和相关文件依据，确保专款专用</w:t>
      </w:r>
      <w:r>
        <w:rPr>
          <w:rFonts w:hint="eastAsia" w:ascii="仿宋_GB2312" w:eastAsia="仿宋_GB2312"/>
          <w:color w:val="auto"/>
          <w:sz w:val="32"/>
          <w:szCs w:val="32"/>
          <w:highlight w:val="none"/>
          <w:lang w:eastAsia="zh-CN"/>
        </w:rPr>
        <w:t>；</w:t>
      </w:r>
      <w:r>
        <w:rPr>
          <w:rFonts w:ascii="仿宋_GB2312" w:eastAsia="仿宋_GB2312"/>
          <w:sz w:val="32"/>
          <w:szCs w:val="32"/>
        </w:rPr>
        <w:t>三是严格控制资金的流出方向，确保资金的合规性</w:t>
      </w:r>
      <w:r>
        <w:rPr>
          <w:rFonts w:hint="eastAsia" w:ascii="仿宋_GB2312" w:eastAsia="仿宋_GB2312"/>
          <w:sz w:val="32"/>
          <w:szCs w:val="32"/>
        </w:rPr>
        <w:t>。</w:t>
      </w:r>
      <w:r>
        <w:rPr>
          <w:rFonts w:hint="eastAsia" w:ascii="仿宋_GB2312" w:eastAsia="仿宋_GB2312"/>
          <w:color w:val="auto"/>
          <w:sz w:val="32"/>
          <w:szCs w:val="32"/>
          <w:highlight w:val="none"/>
          <w:lang w:eastAsia="zh-CN"/>
        </w:rPr>
        <w:t>发现的问题及原因：一是</w:t>
      </w:r>
      <w:r>
        <w:rPr>
          <w:rFonts w:ascii="仿宋_GB2312" w:eastAsia="仿宋_GB2312"/>
          <w:sz w:val="32"/>
          <w:szCs w:val="32"/>
        </w:rPr>
        <w:t>部分业务人员绩效管理意识有待增强，未能全面深入认识理解绩效管理工作的意义。绩效管理经验不足，预算绩效管理工作有待进一步落实；</w:t>
      </w:r>
      <w:r>
        <w:rPr>
          <w:rFonts w:hint="eastAsia" w:ascii="仿宋_GB2312" w:eastAsia="仿宋_GB2312"/>
          <w:color w:val="auto"/>
          <w:sz w:val="32"/>
          <w:szCs w:val="32"/>
          <w:highlight w:val="none"/>
          <w:lang w:eastAsia="zh-CN"/>
        </w:rPr>
        <w:t>二是</w:t>
      </w:r>
      <w:r>
        <w:rPr>
          <w:rFonts w:ascii="仿宋_GB2312" w:eastAsia="仿宋_GB2312"/>
          <w:sz w:val="32"/>
          <w:szCs w:val="32"/>
        </w:rPr>
        <w:t>绩效指标的明确性、可衡量性、相关性还需进一步提升。预算精细化管理还需完善，预算编制管理水平仍有进一步提升的空间</w:t>
      </w:r>
      <w:r>
        <w:rPr>
          <w:rFonts w:hint="eastAsia" w:ascii="仿宋_GB2312" w:eastAsia="仿宋_GB2312"/>
          <w:color w:val="auto"/>
          <w:sz w:val="32"/>
          <w:szCs w:val="32"/>
          <w:highlight w:val="none"/>
          <w:lang w:eastAsia="zh-CN"/>
        </w:rPr>
        <w:t>。下一步改进措施：一是</w:t>
      </w:r>
      <w:r>
        <w:rPr>
          <w:rFonts w:ascii="仿宋_GB2312" w:eastAsia="仿宋_GB2312"/>
          <w:sz w:val="32"/>
          <w:szCs w:val="32"/>
        </w:rPr>
        <w:t>加强学习，进一步明确如何参照考核体系，科学合理设定绩效目标，充分发挥预算绩效管理工作效用</w:t>
      </w:r>
      <w:r>
        <w:rPr>
          <w:rFonts w:hint="eastAsia" w:ascii="仿宋_GB2312" w:eastAsia="仿宋_GB2312"/>
          <w:color w:val="auto"/>
          <w:sz w:val="32"/>
          <w:szCs w:val="32"/>
          <w:highlight w:val="none"/>
          <w:lang w:eastAsia="zh-CN"/>
        </w:rPr>
        <w:t>；二是</w:t>
      </w:r>
      <w:r>
        <w:rPr>
          <w:rFonts w:ascii="仿宋_GB2312" w:eastAsia="仿宋_GB2312"/>
          <w:sz w:val="32"/>
          <w:szCs w:val="32"/>
        </w:rPr>
        <w:t>财务上会计核算要更加详细，为本单位各项工作的开展、总结和评估提供有效数据资料支撑，为各项业务工作更好的开展提供帮助</w:t>
      </w:r>
      <w:r>
        <w:rPr>
          <w:rFonts w:hint="eastAsia" w:ascii="仿宋_GB2312" w:eastAsia="仿宋_GB2312"/>
          <w:sz w:val="32"/>
          <w:szCs w:val="32"/>
          <w:lang w:eastAsia="zh-CN"/>
        </w:rPr>
        <w:t>；</w:t>
      </w:r>
      <w:r>
        <w:rPr>
          <w:rFonts w:ascii="仿宋_GB2312" w:eastAsia="仿宋_GB2312"/>
          <w:sz w:val="32"/>
          <w:szCs w:val="32"/>
        </w:rPr>
        <w:t>从源头上强化对专项资金预算管理，实行专项资金预算管理，结合单位实际，按轻重缓急统筹安排编制预算，提高预算编制科学性和合理性，优化资金结构</w:t>
      </w:r>
      <w:r>
        <w:rPr>
          <w:rFonts w:hint="eastAsia" w:ascii="仿宋_GB2312" w:eastAsia="仿宋_GB2312"/>
          <w:sz w:val="32"/>
          <w:szCs w:val="32"/>
        </w:rPr>
        <w:t>。</w:t>
      </w:r>
      <w:r>
        <w:rPr>
          <w:rFonts w:hint="eastAsia" w:ascii="仿宋_GB2312" w:eastAsia="仿宋_GB2312"/>
          <w:color w:val="auto"/>
          <w:sz w:val="32"/>
          <w:szCs w:val="32"/>
          <w:highlight w:val="none"/>
          <w:lang w:eastAsia="zh-CN"/>
        </w:rPr>
        <w:t>具体</w:t>
      </w:r>
      <w:r>
        <w:rPr>
          <w:rFonts w:hint="eastAsia" w:ascii="仿宋_GB2312" w:eastAsia="仿宋_GB2312"/>
          <w:color w:val="auto"/>
          <w:sz w:val="32"/>
          <w:szCs w:val="32"/>
          <w:highlight w:val="none"/>
        </w:rPr>
        <w:t>项目自评情况附绩效自评表。</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黑体" w:hAnsi="黑体" w:eastAsia="黑体"/>
          <w:color w:val="auto"/>
          <w:sz w:val="32"/>
          <w:szCs w:val="32"/>
          <w:highlight w:val="none"/>
        </w:rPr>
      </w:pPr>
      <w:r>
        <w:rPr>
          <w:rFonts w:hint="eastAsia" w:ascii="仿宋_GB2312" w:hAnsi="仿宋_GB2312" w:eastAsia="仿宋_GB2312" w:cs="仿宋_GB2312"/>
          <w:color w:val="auto"/>
          <w:kern w:val="0"/>
          <w:sz w:val="32"/>
          <w:szCs w:val="32"/>
          <w:highlight w:val="none"/>
          <w:lang w:val="en-US" w:eastAsia="zh-CN"/>
        </w:rPr>
        <w:t>本单位无其他需说明事项。</w:t>
      </w:r>
      <w:bookmarkStart w:id="30" w:name="_Toc24143"/>
      <w:bookmarkStart w:id="31" w:name="_Toc3250"/>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lang w:val="en-US" w:eastAsia="zh-CN"/>
        </w:rPr>
        <w:t xml:space="preserve">                 </w:t>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2" w:name="_Toc6062"/>
      <w:bookmarkStart w:id="33" w:name="_Toc2183"/>
      <w:r>
        <w:rPr>
          <w:rFonts w:hint="eastAsia" w:ascii="仿宋_GB2312" w:hAnsi="仿宋_GB2312" w:eastAsia="仿宋_GB2312" w:cs="仿宋_GB2312"/>
          <w:bCs/>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4" w:name="_Toc24532"/>
      <w:bookmarkStart w:id="35" w:name="_Toc30364"/>
      <w:r>
        <w:rPr>
          <w:rFonts w:hint="eastAsia" w:ascii="仿宋_GB2312" w:hAnsi="仿宋_GB2312" w:eastAsia="仿宋_GB2312" w:cs="仿宋_GB2312"/>
          <w:bCs/>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6" w:name="_Toc32434"/>
      <w:bookmarkStart w:id="37" w:name="_Toc21304"/>
      <w:r>
        <w:rPr>
          <w:rFonts w:hint="eastAsia" w:ascii="仿宋_GB2312" w:hAnsi="仿宋_GB2312" w:eastAsia="仿宋_GB2312" w:cs="仿宋_GB2312"/>
          <w:bCs/>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38" w:name="_Toc28786"/>
      <w:bookmarkStart w:id="39" w:name="_Toc14238"/>
      <w:r>
        <w:rPr>
          <w:rFonts w:hint="eastAsia" w:ascii="仿宋_GB2312" w:hAnsi="仿宋_GB2312" w:eastAsia="仿宋_GB2312" w:cs="仿宋_GB2312"/>
          <w:bCs/>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0" w:name="_Toc10347"/>
      <w:bookmarkStart w:id="41" w:name="_Toc14869"/>
      <w:r>
        <w:rPr>
          <w:rFonts w:hint="eastAsia" w:ascii="仿宋_GB2312" w:hAnsi="仿宋_GB2312" w:eastAsia="仿宋_GB2312" w:cs="仿宋_GB2312"/>
          <w:bCs/>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2" w:name="_Toc5626"/>
      <w:bookmarkStart w:id="43" w:name="_Toc8884"/>
      <w:r>
        <w:rPr>
          <w:rFonts w:hint="eastAsia" w:ascii="仿宋_GB2312" w:hAnsi="仿宋_GB2312" w:eastAsia="仿宋_GB2312" w:cs="仿宋_GB2312"/>
          <w:bCs/>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rPr>
        <w:t>七、</w:t>
      </w:r>
      <w:bookmarkStart w:id="44" w:name="_Toc29106"/>
      <w:bookmarkStart w:id="45" w:name="_Toc32663"/>
      <w:r>
        <w:rPr>
          <w:rFonts w:hint="eastAsia" w:ascii="仿宋_GB2312" w:hAnsi="仿宋_GB2312" w:eastAsia="仿宋_GB2312" w:cs="仿宋_GB2312"/>
          <w:bCs/>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bookmarkStart w:id="46" w:name="_Toc7643"/>
      <w:bookmarkStart w:id="47" w:name="_Toc5453"/>
      <w:r>
        <w:rPr>
          <w:rFonts w:hint="eastAsia" w:ascii="仿宋_GB2312" w:hAnsi="仿宋_GB2312" w:eastAsia="仿宋_GB2312" w:cs="仿宋_GB2312"/>
          <w:bCs/>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hAnsi="仿宋_GB2312" w:eastAsia="仿宋_GB2312" w:cs="仿宋_GB2312"/>
          <w:bCs/>
          <w:kern w:val="0"/>
          <w:sz w:val="32"/>
          <w:szCs w:val="32"/>
          <w:highlight w:val="none"/>
        </w:rPr>
      </w:pP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531" w:bottom="1440"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4MGQxMWQ5YmRlMTAwNTRhZDhmZjRkMDBlZjc4ZTIifQ=="/>
    <w:docVar w:name="KSO_WPS_MARK_KEY" w:val="41ee2a61-2d54-4f93-83be-afdb9a40d732"/>
  </w:docVars>
  <w:rsids>
    <w:rsidRoot w:val="00172A27"/>
    <w:rsid w:val="001241D2"/>
    <w:rsid w:val="00213C59"/>
    <w:rsid w:val="003210CE"/>
    <w:rsid w:val="00B70D59"/>
    <w:rsid w:val="00F52A8D"/>
    <w:rsid w:val="019404F8"/>
    <w:rsid w:val="02BD3108"/>
    <w:rsid w:val="02F73D26"/>
    <w:rsid w:val="034D4FEF"/>
    <w:rsid w:val="035D1785"/>
    <w:rsid w:val="03750E68"/>
    <w:rsid w:val="039F47CE"/>
    <w:rsid w:val="03E05CE8"/>
    <w:rsid w:val="03F973EE"/>
    <w:rsid w:val="040F4FDD"/>
    <w:rsid w:val="043E5B56"/>
    <w:rsid w:val="04C04386"/>
    <w:rsid w:val="04D96608"/>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735690"/>
    <w:rsid w:val="09AF3D17"/>
    <w:rsid w:val="0A1552DB"/>
    <w:rsid w:val="0A7809B7"/>
    <w:rsid w:val="0A7B4867"/>
    <w:rsid w:val="0A840954"/>
    <w:rsid w:val="0A9928ED"/>
    <w:rsid w:val="0ACE0DF1"/>
    <w:rsid w:val="0B61769D"/>
    <w:rsid w:val="0B8C3ECC"/>
    <w:rsid w:val="0B9C639D"/>
    <w:rsid w:val="0BB052B2"/>
    <w:rsid w:val="0BD33FFC"/>
    <w:rsid w:val="0BE97AC1"/>
    <w:rsid w:val="0C1C4780"/>
    <w:rsid w:val="0C3613A3"/>
    <w:rsid w:val="0C5E519C"/>
    <w:rsid w:val="0C7227A7"/>
    <w:rsid w:val="0CA52EE8"/>
    <w:rsid w:val="0CBD6988"/>
    <w:rsid w:val="0CD208AC"/>
    <w:rsid w:val="0D4903E8"/>
    <w:rsid w:val="0D5D0DE9"/>
    <w:rsid w:val="0D7A4A46"/>
    <w:rsid w:val="0E640559"/>
    <w:rsid w:val="0EFD545A"/>
    <w:rsid w:val="0F1113DA"/>
    <w:rsid w:val="0F78534A"/>
    <w:rsid w:val="0F89358A"/>
    <w:rsid w:val="0F8C6D51"/>
    <w:rsid w:val="105B0B5E"/>
    <w:rsid w:val="111156C1"/>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D50C50"/>
    <w:rsid w:val="16E120E1"/>
    <w:rsid w:val="17385A05"/>
    <w:rsid w:val="173B3901"/>
    <w:rsid w:val="176747F9"/>
    <w:rsid w:val="17954A6E"/>
    <w:rsid w:val="180059E9"/>
    <w:rsid w:val="184510FD"/>
    <w:rsid w:val="190648B0"/>
    <w:rsid w:val="19071D6C"/>
    <w:rsid w:val="19D26CD4"/>
    <w:rsid w:val="19E60D19"/>
    <w:rsid w:val="1A3E3450"/>
    <w:rsid w:val="1AD807E5"/>
    <w:rsid w:val="1B39345B"/>
    <w:rsid w:val="1BFB2A1F"/>
    <w:rsid w:val="1C015D4A"/>
    <w:rsid w:val="1C290ED5"/>
    <w:rsid w:val="1C317E4F"/>
    <w:rsid w:val="1C472464"/>
    <w:rsid w:val="1D1F4CC2"/>
    <w:rsid w:val="1D22799A"/>
    <w:rsid w:val="1D5C1A72"/>
    <w:rsid w:val="1DA13929"/>
    <w:rsid w:val="1DAF458D"/>
    <w:rsid w:val="1E086ACE"/>
    <w:rsid w:val="1E0A7720"/>
    <w:rsid w:val="1E62130A"/>
    <w:rsid w:val="1E852668"/>
    <w:rsid w:val="1E97358B"/>
    <w:rsid w:val="1EAA4A5F"/>
    <w:rsid w:val="1EE869A7"/>
    <w:rsid w:val="1FA15E62"/>
    <w:rsid w:val="1FED69B6"/>
    <w:rsid w:val="2064678E"/>
    <w:rsid w:val="20DC1AB9"/>
    <w:rsid w:val="20DD6197"/>
    <w:rsid w:val="212631E0"/>
    <w:rsid w:val="21A53757"/>
    <w:rsid w:val="221236C6"/>
    <w:rsid w:val="22D7662C"/>
    <w:rsid w:val="23326B7F"/>
    <w:rsid w:val="2380045B"/>
    <w:rsid w:val="23BC04D2"/>
    <w:rsid w:val="23E32EED"/>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A053397"/>
    <w:rsid w:val="2A145E96"/>
    <w:rsid w:val="2A2131BB"/>
    <w:rsid w:val="2AF5378F"/>
    <w:rsid w:val="2B2856DE"/>
    <w:rsid w:val="2BB94DBF"/>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C63837"/>
    <w:rsid w:val="31C82E39"/>
    <w:rsid w:val="32601BAD"/>
    <w:rsid w:val="329F6389"/>
    <w:rsid w:val="3389023A"/>
    <w:rsid w:val="33CB74FA"/>
    <w:rsid w:val="343642F2"/>
    <w:rsid w:val="343F3010"/>
    <w:rsid w:val="345D0A00"/>
    <w:rsid w:val="34713BFD"/>
    <w:rsid w:val="34C13589"/>
    <w:rsid w:val="353369E3"/>
    <w:rsid w:val="35E00D72"/>
    <w:rsid w:val="35F920FC"/>
    <w:rsid w:val="36965B9D"/>
    <w:rsid w:val="36C549FD"/>
    <w:rsid w:val="37A755DD"/>
    <w:rsid w:val="37F94FA0"/>
    <w:rsid w:val="380D3381"/>
    <w:rsid w:val="38115B1F"/>
    <w:rsid w:val="385E3AC3"/>
    <w:rsid w:val="387D6B9E"/>
    <w:rsid w:val="38B75FF0"/>
    <w:rsid w:val="38D45016"/>
    <w:rsid w:val="38D90432"/>
    <w:rsid w:val="3914510A"/>
    <w:rsid w:val="3926770B"/>
    <w:rsid w:val="39534219"/>
    <w:rsid w:val="398D3668"/>
    <w:rsid w:val="39DA0497"/>
    <w:rsid w:val="3A893816"/>
    <w:rsid w:val="3A893B6D"/>
    <w:rsid w:val="3AD1763A"/>
    <w:rsid w:val="3AD244C6"/>
    <w:rsid w:val="3B6716E3"/>
    <w:rsid w:val="3B6C6B2D"/>
    <w:rsid w:val="3C242659"/>
    <w:rsid w:val="3C96719C"/>
    <w:rsid w:val="3CA72BE8"/>
    <w:rsid w:val="3CF37F8C"/>
    <w:rsid w:val="3D137554"/>
    <w:rsid w:val="3D5275AC"/>
    <w:rsid w:val="3DA768E2"/>
    <w:rsid w:val="3DCC2473"/>
    <w:rsid w:val="3DEB0883"/>
    <w:rsid w:val="3E2527BF"/>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B82268"/>
    <w:rsid w:val="48C354B3"/>
    <w:rsid w:val="48EE4BF6"/>
    <w:rsid w:val="49170DBF"/>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8D0ED5"/>
    <w:rsid w:val="525C687F"/>
    <w:rsid w:val="52F647F7"/>
    <w:rsid w:val="52F92565"/>
    <w:rsid w:val="53D03877"/>
    <w:rsid w:val="542F73CA"/>
    <w:rsid w:val="5430786D"/>
    <w:rsid w:val="545A1D2A"/>
    <w:rsid w:val="54C811C0"/>
    <w:rsid w:val="556A442D"/>
    <w:rsid w:val="55CF5DA5"/>
    <w:rsid w:val="55DA564E"/>
    <w:rsid w:val="5604127D"/>
    <w:rsid w:val="56166703"/>
    <w:rsid w:val="56510474"/>
    <w:rsid w:val="56861525"/>
    <w:rsid w:val="56A93273"/>
    <w:rsid w:val="56BD550C"/>
    <w:rsid w:val="56E07045"/>
    <w:rsid w:val="56FF28AF"/>
    <w:rsid w:val="57221BE6"/>
    <w:rsid w:val="57540E7D"/>
    <w:rsid w:val="577B4878"/>
    <w:rsid w:val="57926973"/>
    <w:rsid w:val="58175352"/>
    <w:rsid w:val="581F2200"/>
    <w:rsid w:val="583059FA"/>
    <w:rsid w:val="584A0929"/>
    <w:rsid w:val="58CD2491"/>
    <w:rsid w:val="591B41B2"/>
    <w:rsid w:val="59254A26"/>
    <w:rsid w:val="59326325"/>
    <w:rsid w:val="595C505B"/>
    <w:rsid w:val="595E55C3"/>
    <w:rsid w:val="596E7E20"/>
    <w:rsid w:val="5A3D7F5A"/>
    <w:rsid w:val="5A60780B"/>
    <w:rsid w:val="5AB34579"/>
    <w:rsid w:val="5AFC6609"/>
    <w:rsid w:val="5B113480"/>
    <w:rsid w:val="5B8A71CF"/>
    <w:rsid w:val="5BD456CE"/>
    <w:rsid w:val="5C0D1F49"/>
    <w:rsid w:val="5CBB0CE2"/>
    <w:rsid w:val="5CBF10FA"/>
    <w:rsid w:val="5CC17177"/>
    <w:rsid w:val="5CF306BC"/>
    <w:rsid w:val="5D3F3D64"/>
    <w:rsid w:val="5D833043"/>
    <w:rsid w:val="5DD92690"/>
    <w:rsid w:val="5DDB1CFD"/>
    <w:rsid w:val="5E7E6D93"/>
    <w:rsid w:val="5E9730FE"/>
    <w:rsid w:val="5ED44800"/>
    <w:rsid w:val="5F350BDE"/>
    <w:rsid w:val="5F61632C"/>
    <w:rsid w:val="5FA17648"/>
    <w:rsid w:val="5FE705CB"/>
    <w:rsid w:val="603D5080"/>
    <w:rsid w:val="60D0261B"/>
    <w:rsid w:val="611B37BA"/>
    <w:rsid w:val="618E3791"/>
    <w:rsid w:val="61947DCA"/>
    <w:rsid w:val="61A46A97"/>
    <w:rsid w:val="61D1382F"/>
    <w:rsid w:val="61F114A2"/>
    <w:rsid w:val="62512BB4"/>
    <w:rsid w:val="625D7D1A"/>
    <w:rsid w:val="62DD7D21"/>
    <w:rsid w:val="637D586B"/>
    <w:rsid w:val="63A5560B"/>
    <w:rsid w:val="63E9091F"/>
    <w:rsid w:val="64322AF9"/>
    <w:rsid w:val="648D138E"/>
    <w:rsid w:val="64D6010D"/>
    <w:rsid w:val="64D82665"/>
    <w:rsid w:val="64E47C96"/>
    <w:rsid w:val="651E5741"/>
    <w:rsid w:val="658A4877"/>
    <w:rsid w:val="65A00902"/>
    <w:rsid w:val="65AC6EDD"/>
    <w:rsid w:val="65C708BF"/>
    <w:rsid w:val="65D97752"/>
    <w:rsid w:val="66085536"/>
    <w:rsid w:val="66105BF7"/>
    <w:rsid w:val="66150023"/>
    <w:rsid w:val="6628010D"/>
    <w:rsid w:val="662B5A52"/>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B68175F"/>
    <w:rsid w:val="6BFD799F"/>
    <w:rsid w:val="6C4A2E5A"/>
    <w:rsid w:val="6C8138D0"/>
    <w:rsid w:val="6CEF0725"/>
    <w:rsid w:val="6D4B2604"/>
    <w:rsid w:val="6D8030E4"/>
    <w:rsid w:val="6E0E35C4"/>
    <w:rsid w:val="6E0F7A08"/>
    <w:rsid w:val="6E3947F5"/>
    <w:rsid w:val="6E7D0E15"/>
    <w:rsid w:val="6E9C74ED"/>
    <w:rsid w:val="6EF72976"/>
    <w:rsid w:val="6F795A80"/>
    <w:rsid w:val="6F7C1D2E"/>
    <w:rsid w:val="6F8E0407"/>
    <w:rsid w:val="6FDD069F"/>
    <w:rsid w:val="702B4D16"/>
    <w:rsid w:val="70386C15"/>
    <w:rsid w:val="70AA6621"/>
    <w:rsid w:val="7111480F"/>
    <w:rsid w:val="71261F49"/>
    <w:rsid w:val="712E6956"/>
    <w:rsid w:val="71473612"/>
    <w:rsid w:val="71504F32"/>
    <w:rsid w:val="7152309F"/>
    <w:rsid w:val="718F7F65"/>
    <w:rsid w:val="727B234E"/>
    <w:rsid w:val="72D068C7"/>
    <w:rsid w:val="72E42ED8"/>
    <w:rsid w:val="735F4CB9"/>
    <w:rsid w:val="73674C62"/>
    <w:rsid w:val="737F6C26"/>
    <w:rsid w:val="73845865"/>
    <w:rsid w:val="739B6D9E"/>
    <w:rsid w:val="73BC1D76"/>
    <w:rsid w:val="73FB6630"/>
    <w:rsid w:val="748D790E"/>
    <w:rsid w:val="749820CC"/>
    <w:rsid w:val="74CE04EC"/>
    <w:rsid w:val="74E76DCD"/>
    <w:rsid w:val="751D6EAE"/>
    <w:rsid w:val="751D7C0A"/>
    <w:rsid w:val="75722D56"/>
    <w:rsid w:val="75DB5477"/>
    <w:rsid w:val="75FC6AC3"/>
    <w:rsid w:val="760503EB"/>
    <w:rsid w:val="7616619B"/>
    <w:rsid w:val="76660D7C"/>
    <w:rsid w:val="766C5968"/>
    <w:rsid w:val="76BE0C8F"/>
    <w:rsid w:val="76CD53B2"/>
    <w:rsid w:val="76E61D7D"/>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C7248A0"/>
    <w:rsid w:val="7C976D69"/>
    <w:rsid w:val="7CD752DA"/>
    <w:rsid w:val="7CDE40AB"/>
    <w:rsid w:val="7CF057E2"/>
    <w:rsid w:val="7D043F24"/>
    <w:rsid w:val="7D1548B5"/>
    <w:rsid w:val="7DF84014"/>
    <w:rsid w:val="7E207949"/>
    <w:rsid w:val="7E5C0A47"/>
    <w:rsid w:val="7E670C75"/>
    <w:rsid w:val="7EE24272"/>
    <w:rsid w:val="7EEA6053"/>
    <w:rsid w:val="7F487C04"/>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4825</Words>
  <Characters>5359</Characters>
  <Lines>0</Lines>
  <Paragraphs>0</Paragraphs>
  <TotalTime>0</TotalTime>
  <ScaleCrop>false</ScaleCrop>
  <LinksUpToDate>false</LinksUpToDate>
  <CharactersWithSpaces>5387</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2024-10-14T08:44:18Z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E184AE85088743F9B4262508B94EAE4D</vt:lpwstr>
  </property>
</Properties>
</file>