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新疆维吾尔自治区国际人才交流合作中心</w:t>
      </w:r>
    </w:p>
    <w:p>
      <w:pPr>
        <w:jc w:val="center"/>
        <w:rPr>
          <w:rFonts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rPr>
          <w:rFonts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ind w:firstLine="640" w:firstLineChars="200"/>
        <w:outlineLvl w:val="1"/>
        <w:rPr>
          <w:rFonts w:hint="eastAsia" w:ascii="仿宋_GB2312" w:eastAsia="仿宋_GB2312"/>
          <w:sz w:val="32"/>
          <w:szCs w:val="32"/>
        </w:rPr>
      </w:pPr>
      <w:bookmarkStart w:id="4" w:name="_Toc31238"/>
      <w:bookmarkStart w:id="5" w:name="_Toc2151"/>
      <w:r>
        <w:rPr>
          <w:rFonts w:hint="eastAsia" w:ascii="仿宋_GB2312" w:eastAsia="仿宋_GB2312"/>
          <w:sz w:val="32"/>
          <w:szCs w:val="32"/>
        </w:rPr>
        <w:t>开展国际人才交流合作，促进科技发展。承担自治区有关国外引智成果收集、推广等工作。</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ascii="仿宋_GB2312" w:hAnsi="仿宋_GB2312" w:eastAsia="仿宋_GB2312" w:cs="仿宋_GB2312"/>
          <w:b/>
          <w:sz w:val="32"/>
          <w:szCs w:val="32"/>
        </w:rPr>
      </w:pPr>
      <w:r>
        <w:rPr>
          <w:rFonts w:hint="eastAsia" w:ascii="仿宋_GB2312" w:eastAsia="仿宋_GB2312"/>
          <w:sz w:val="32"/>
          <w:szCs w:val="32"/>
        </w:rPr>
        <w:t>新疆维吾尔自治区国际人才交流合作中心2023年度，实有人数</w:t>
      </w:r>
      <w:r>
        <w:rPr>
          <w:rFonts w:hint="eastAsia" w:ascii="仿宋_GB2312" w:eastAsia="仿宋_GB2312"/>
          <w:sz w:val="32"/>
          <w:szCs w:val="32"/>
          <w:lang w:val="zh-CN"/>
        </w:rPr>
        <w:t>6</w:t>
      </w:r>
      <w:r>
        <w:rPr>
          <w:rFonts w:hint="eastAsia" w:ascii="仿宋_GB2312" w:eastAsia="仿宋_GB2312"/>
          <w:sz w:val="32"/>
          <w:szCs w:val="32"/>
        </w:rPr>
        <w:t>人，其中：在职人员</w:t>
      </w:r>
      <w:r>
        <w:rPr>
          <w:rFonts w:hint="eastAsia" w:ascii="仿宋_GB2312" w:eastAsia="仿宋_GB2312"/>
          <w:sz w:val="32"/>
          <w:szCs w:val="32"/>
          <w:lang w:val="zh-CN"/>
        </w:rPr>
        <w:t>6</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0</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单位无下属预算单位,下设1个处室,分别是: 新疆维吾尔自治区国际人才交流合作中心</w:t>
      </w:r>
    </w:p>
    <w:p>
      <w:pPr>
        <w:jc w:val="center"/>
        <w:outlineLvl w:val="0"/>
        <w:rPr>
          <w:rFonts w:hint="eastAsia" w:ascii="仿宋_GB2312" w:eastAsia="仿宋_GB2312"/>
          <w:b/>
          <w:bCs/>
          <w:sz w:val="32"/>
          <w:szCs w:val="32"/>
        </w:rPr>
      </w:pPr>
      <w:bookmarkStart w:id="6" w:name="_Toc3092"/>
      <w:bookmarkStart w:id="7" w:name="_Toc29374"/>
    </w:p>
    <w:p>
      <w:pPr>
        <w:jc w:val="center"/>
        <w:outlineLvl w:val="0"/>
        <w:rPr>
          <w:rFonts w:hint="eastAsia" w:ascii="仿宋_GB2312" w:eastAsia="仿宋_GB2312"/>
          <w:b/>
          <w:bCs/>
          <w:sz w:val="32"/>
          <w:szCs w:val="32"/>
        </w:rPr>
      </w:pPr>
    </w:p>
    <w:p>
      <w:pPr>
        <w:jc w:val="center"/>
        <w:outlineLvl w:val="0"/>
        <w:rPr>
          <w:rFonts w:hint="eastAsia" w:ascii="仿宋_GB2312" w:eastAsia="仿宋_GB2312"/>
          <w:b/>
          <w:bCs/>
          <w:sz w:val="32"/>
          <w:szCs w:val="32"/>
        </w:rPr>
      </w:pPr>
    </w:p>
    <w:p>
      <w:pPr>
        <w:jc w:val="center"/>
        <w:outlineLvl w:val="0"/>
        <w:rPr>
          <w:rFonts w:hint="eastAsia" w:ascii="仿宋_GB2312" w:eastAsia="仿宋_GB2312"/>
          <w:b/>
          <w:bCs/>
          <w:sz w:val="32"/>
          <w:szCs w:val="32"/>
        </w:rPr>
      </w:pPr>
    </w:p>
    <w:p>
      <w:pPr>
        <w:jc w:val="center"/>
        <w:outlineLvl w:val="0"/>
        <w:rPr>
          <w:rFonts w:hint="eastAsia" w:ascii="仿宋_GB2312" w:eastAsia="仿宋_GB2312"/>
          <w:b/>
          <w:bCs/>
          <w:sz w:val="32"/>
          <w:szCs w:val="32"/>
        </w:rPr>
      </w:pPr>
    </w:p>
    <w:p>
      <w:pPr>
        <w:jc w:val="center"/>
        <w:outlineLvl w:val="0"/>
        <w:rPr>
          <w:rFonts w:hint="eastAsia" w:ascii="仿宋_GB2312" w:eastAsia="仿宋_GB2312"/>
          <w:b/>
          <w:bCs/>
          <w:sz w:val="32"/>
          <w:szCs w:val="32"/>
        </w:rPr>
      </w:pPr>
    </w:p>
    <w:p>
      <w:pPr>
        <w:jc w:val="center"/>
        <w:outlineLvl w:val="0"/>
        <w:rPr>
          <w:rFonts w:hint="eastAsia" w:ascii="仿宋_GB2312" w:eastAsia="仿宋_GB2312"/>
          <w:b/>
          <w:bCs/>
          <w:sz w:val="32"/>
          <w:szCs w:val="32"/>
        </w:rPr>
      </w:pPr>
    </w:p>
    <w:p>
      <w:pPr>
        <w:jc w:val="center"/>
        <w:outlineLvl w:val="0"/>
        <w:rPr>
          <w:rFonts w:hint="eastAsia" w:ascii="仿宋_GB2312" w:eastAsia="仿宋_GB2312"/>
          <w:b/>
          <w:bCs/>
          <w:sz w:val="32"/>
          <w:szCs w:val="32"/>
        </w:rPr>
      </w:pPr>
    </w:p>
    <w:p>
      <w:pPr>
        <w:jc w:val="center"/>
        <w:outlineLvl w:val="0"/>
        <w:rPr>
          <w:rFonts w:hint="eastAsia" w:ascii="仿宋_GB2312" w:eastAsia="仿宋_GB2312"/>
          <w:b/>
          <w:bCs/>
          <w:sz w:val="32"/>
          <w:szCs w:val="32"/>
        </w:rPr>
      </w:pPr>
    </w:p>
    <w:p>
      <w:pPr>
        <w:jc w:val="center"/>
        <w:outlineLvl w:val="0"/>
        <w:rPr>
          <w:rFonts w:hint="eastAsia" w:ascii="仿宋_GB2312" w:eastAsia="仿宋_GB2312"/>
          <w:b/>
          <w:bCs/>
          <w:sz w:val="32"/>
          <w:szCs w:val="32"/>
        </w:rPr>
      </w:pPr>
    </w:p>
    <w:p>
      <w:pPr>
        <w:jc w:val="center"/>
        <w:outlineLvl w:val="0"/>
        <w:rPr>
          <w:rFonts w:hint="eastAsia" w:ascii="仿宋_GB2312" w:eastAsia="仿宋_GB2312"/>
          <w:b/>
          <w:bCs/>
          <w:sz w:val="32"/>
          <w:szCs w:val="32"/>
        </w:rPr>
      </w:pPr>
    </w:p>
    <w:p>
      <w:pPr>
        <w:jc w:val="center"/>
        <w:outlineLvl w:val="0"/>
        <w:rPr>
          <w:rFonts w:hint="eastAsia" w:ascii="仿宋_GB2312" w:eastAsia="仿宋_GB2312"/>
          <w:b/>
          <w:bCs/>
          <w:sz w:val="32"/>
          <w:szCs w:val="32"/>
        </w:rPr>
      </w:pPr>
    </w:p>
    <w:p>
      <w:pPr>
        <w:jc w:val="center"/>
        <w:outlineLvl w:val="0"/>
        <w:rPr>
          <w:rFonts w:hint="eastAsia" w:ascii="仿宋_GB2312" w:eastAsia="仿宋_GB2312"/>
          <w:b/>
          <w:bCs/>
          <w:sz w:val="32"/>
          <w:szCs w:val="32"/>
        </w:rPr>
      </w:pPr>
    </w:p>
    <w:p>
      <w:pPr>
        <w:jc w:val="center"/>
        <w:outlineLvl w:val="0"/>
        <w:rPr>
          <w:rFonts w:ascii="黑体" w:hAnsi="黑体" w:eastAsia="黑体"/>
          <w:sz w:val="32"/>
          <w:szCs w:val="32"/>
        </w:rPr>
      </w:pPr>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2023年度收入总计123.98万元，其中：本年收入合计123.98万元，使用非财政拨款结余0.00万元，年初结转和结余0.00万元。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2023年度支出总计123.98万元，其中：本年支出合计123.90万元，结余分配0.07万元，年末结转和结余0.00万元。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增加14.97万元</w:t>
      </w:r>
      <w:r>
        <w:rPr>
          <w:rFonts w:hint="eastAsia" w:ascii="仿宋_GB2312" w:eastAsia="仿宋_GB2312"/>
          <w:sz w:val="32"/>
          <w:szCs w:val="32"/>
        </w:rPr>
        <w:t>，增长13.73%，主要原因是：政策性增资。</w:t>
      </w:r>
    </w:p>
    <w:p>
      <w:pPr>
        <w:ind w:firstLine="640" w:firstLineChars="200"/>
        <w:jc w:val="left"/>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本年收入123.98万元，其中：财政拨款收入</w:t>
      </w:r>
      <w:r>
        <w:rPr>
          <w:rFonts w:hint="eastAsia" w:ascii="仿宋_GB2312" w:eastAsia="仿宋_GB2312"/>
          <w:sz w:val="32"/>
          <w:szCs w:val="32"/>
          <w:lang w:val="zh-CN"/>
        </w:rPr>
        <w:t>123.90</w:t>
      </w:r>
      <w:r>
        <w:rPr>
          <w:rFonts w:hint="eastAsia" w:ascii="仿宋_GB2312" w:eastAsia="仿宋_GB2312"/>
          <w:sz w:val="32"/>
          <w:szCs w:val="32"/>
        </w:rPr>
        <w:t>万元，占</w:t>
      </w:r>
      <w:r>
        <w:rPr>
          <w:rFonts w:hint="eastAsia" w:ascii="仿宋_GB2312" w:eastAsia="仿宋_GB2312"/>
          <w:sz w:val="32"/>
          <w:szCs w:val="32"/>
          <w:lang w:val="zh-CN"/>
        </w:rPr>
        <w:t>99.94</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0.07</w:t>
      </w:r>
      <w:r>
        <w:rPr>
          <w:rFonts w:hint="eastAsia" w:ascii="仿宋_GB2312" w:eastAsia="仿宋_GB2312"/>
          <w:sz w:val="32"/>
          <w:szCs w:val="32"/>
        </w:rPr>
        <w:t>万元，占</w:t>
      </w:r>
      <w:r>
        <w:rPr>
          <w:rFonts w:hint="eastAsia" w:ascii="仿宋_GB2312" w:eastAsia="仿宋_GB2312"/>
          <w:sz w:val="32"/>
          <w:szCs w:val="32"/>
          <w:lang w:val="zh-CN"/>
        </w:rPr>
        <w:t>0.06</w:t>
      </w:r>
      <w:r>
        <w:rPr>
          <w:rFonts w:hint="eastAsia" w:ascii="仿宋_GB2312" w:eastAsia="仿宋_GB2312"/>
          <w:sz w:val="32"/>
          <w:szCs w:val="32"/>
        </w:rPr>
        <w:t>%。</w:t>
      </w:r>
    </w:p>
    <w:p>
      <w:pPr>
        <w:ind w:firstLine="640" w:firstLineChars="200"/>
        <w:jc w:val="left"/>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jc w:val="left"/>
        <w:rPr>
          <w:rFonts w:eastAsia="仿宋_GB2312" w:cs="仿宋_GB2312"/>
          <w:sz w:val="30"/>
          <w:szCs w:val="30"/>
          <w:lang w:val="zh-CN"/>
        </w:rPr>
      </w:pPr>
      <w:r>
        <w:rPr>
          <w:rFonts w:hint="eastAsia" w:eastAsia="仿宋_GB2312" w:cs="仿宋_GB2312"/>
          <w:sz w:val="32"/>
          <w:szCs w:val="32"/>
          <w:lang w:val="zh-CN"/>
        </w:rPr>
        <w:t>本年支出123.90万元，其中：基本支出123.90万元，占100.00%；项目支出0.00万元，占0.00%；上缴上级支出0.00万元，占0.00%；经营支出0.00万元，占0.00%；对附属单位补助支出0.00万元，占0.00%。</w:t>
      </w:r>
    </w:p>
    <w:p>
      <w:pPr>
        <w:ind w:firstLine="640" w:firstLineChars="200"/>
        <w:jc w:val="left"/>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123.90</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123.90</w:t>
      </w:r>
      <w:r>
        <w:rPr>
          <w:rFonts w:hint="eastAsia" w:ascii="仿宋_GB2312" w:eastAsia="仿宋_GB2312"/>
          <w:sz w:val="32"/>
          <w:szCs w:val="32"/>
        </w:rPr>
        <w:t>万元。财政拨款支出总计</w:t>
      </w:r>
      <w:r>
        <w:rPr>
          <w:rFonts w:hint="eastAsia" w:ascii="仿宋_GB2312" w:eastAsia="仿宋_GB2312"/>
          <w:sz w:val="32"/>
          <w:szCs w:val="32"/>
          <w:lang w:val="zh-CN"/>
        </w:rPr>
        <w:t>123.90</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123.90</w:t>
      </w:r>
      <w:r>
        <w:rPr>
          <w:rFonts w:hint="eastAsia" w:ascii="仿宋_GB2312" w:eastAsia="仿宋_GB2312"/>
          <w:sz w:val="32"/>
          <w:szCs w:val="32"/>
        </w:rPr>
        <w:t>万元。</w:t>
      </w:r>
    </w:p>
    <w:p>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增加14.90万元</w:t>
      </w:r>
      <w:r>
        <w:rPr>
          <w:rFonts w:hint="eastAsia" w:ascii="仿宋_GB2312" w:eastAsia="仿宋_GB2312"/>
          <w:sz w:val="32"/>
          <w:szCs w:val="32"/>
        </w:rPr>
        <w:t>，增长13.67%,主要原因是：政策性增资。与年初预算相比，年初预算数</w:t>
      </w:r>
      <w:r>
        <w:rPr>
          <w:rFonts w:hint="eastAsia" w:ascii="仿宋_GB2312" w:eastAsia="仿宋_GB2312"/>
          <w:sz w:val="32"/>
          <w:szCs w:val="32"/>
          <w:lang w:val="zh-CN"/>
        </w:rPr>
        <w:t>111.66</w:t>
      </w:r>
      <w:r>
        <w:rPr>
          <w:rFonts w:hint="eastAsia" w:ascii="仿宋_GB2312" w:eastAsia="仿宋_GB2312"/>
          <w:sz w:val="32"/>
          <w:szCs w:val="32"/>
        </w:rPr>
        <w:t>万元，决算数</w:t>
      </w:r>
      <w:r>
        <w:rPr>
          <w:rFonts w:hint="eastAsia" w:ascii="仿宋_GB2312" w:eastAsia="仿宋_GB2312"/>
          <w:sz w:val="32"/>
          <w:szCs w:val="32"/>
          <w:lang w:val="zh-CN"/>
        </w:rPr>
        <w:t>123.90</w:t>
      </w:r>
      <w:r>
        <w:rPr>
          <w:rFonts w:hint="eastAsia" w:ascii="仿宋_GB2312" w:eastAsia="仿宋_GB2312"/>
          <w:sz w:val="32"/>
          <w:szCs w:val="32"/>
        </w:rPr>
        <w:t>万元，预决算差异率10.97%，主要原因是：工资调标,财政追加人员和公用经费。</w:t>
      </w:r>
    </w:p>
    <w:p>
      <w:pPr>
        <w:ind w:firstLine="640" w:firstLineChars="200"/>
        <w:jc w:val="left"/>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2023年度一般公共预算财政拨款支出123.90万元，占本年支出合计的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增加14.90万元</w:t>
      </w:r>
      <w:r>
        <w:rPr>
          <w:rFonts w:hint="eastAsia" w:ascii="仿宋_GB2312" w:eastAsia="仿宋_GB2312"/>
          <w:sz w:val="32"/>
          <w:szCs w:val="32"/>
        </w:rPr>
        <w:t>，增长13.67%,主要原因是：政策性增资。与年初预算相比，年初预算数</w:t>
      </w:r>
      <w:r>
        <w:rPr>
          <w:rFonts w:hint="eastAsia" w:ascii="仿宋_GB2312" w:eastAsia="仿宋_GB2312"/>
          <w:sz w:val="32"/>
          <w:szCs w:val="32"/>
          <w:lang w:val="zh-CN"/>
        </w:rPr>
        <w:t>111.66</w:t>
      </w:r>
      <w:r>
        <w:rPr>
          <w:rFonts w:hint="eastAsia" w:ascii="仿宋_GB2312" w:eastAsia="仿宋_GB2312"/>
          <w:sz w:val="32"/>
          <w:szCs w:val="32"/>
        </w:rPr>
        <w:t>万元，决算数</w:t>
      </w:r>
      <w:r>
        <w:rPr>
          <w:rFonts w:hint="eastAsia" w:ascii="仿宋_GB2312" w:eastAsia="仿宋_GB2312"/>
          <w:sz w:val="32"/>
          <w:szCs w:val="32"/>
          <w:lang w:val="zh-CN"/>
        </w:rPr>
        <w:t>123.90</w:t>
      </w:r>
      <w:r>
        <w:rPr>
          <w:rFonts w:hint="eastAsia" w:ascii="仿宋_GB2312" w:eastAsia="仿宋_GB2312"/>
          <w:sz w:val="32"/>
          <w:szCs w:val="32"/>
        </w:rPr>
        <w:t>万元，预决算差异率</w:t>
      </w:r>
      <w:r>
        <w:rPr>
          <w:rFonts w:hint="eastAsia" w:ascii="仿宋_GB2312" w:eastAsia="仿宋_GB2312"/>
          <w:sz w:val="32"/>
          <w:szCs w:val="32"/>
          <w:lang w:val="zh-CN"/>
        </w:rPr>
        <w:t>10.97%</w:t>
      </w:r>
      <w:r>
        <w:rPr>
          <w:rFonts w:hint="eastAsia" w:ascii="仿宋_GB2312" w:eastAsia="仿宋_GB2312"/>
          <w:sz w:val="32"/>
          <w:szCs w:val="32"/>
        </w:rPr>
        <w:t>，主要原因是：工资调标,财政追加人员和公用经费。</w:t>
      </w:r>
    </w:p>
    <w:p>
      <w:pPr>
        <w:numPr>
          <w:ilvl w:val="0"/>
          <w:numId w:val="1"/>
        </w:numPr>
        <w:ind w:firstLine="640" w:firstLineChars="200"/>
        <w:jc w:val="left"/>
        <w:outlineLvl w:val="2"/>
        <w:rPr>
          <w:rFonts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rPr>
      </w:pPr>
      <w:r>
        <w:rPr>
          <w:rFonts w:hint="eastAsia" w:ascii="仿宋_GB2312" w:eastAsia="仿宋_GB2312"/>
          <w:kern w:val="2"/>
          <w:sz w:val="32"/>
          <w:szCs w:val="32"/>
        </w:rPr>
        <w:t>1</w:t>
      </w:r>
      <w:r>
        <w:rPr>
          <w:rFonts w:ascii="仿宋_GB2312" w:eastAsia="仿宋_GB2312"/>
          <w:kern w:val="2"/>
          <w:sz w:val="32"/>
          <w:szCs w:val="32"/>
        </w:rPr>
        <w:t>.</w:t>
      </w:r>
      <w:r>
        <w:rPr>
          <w:rFonts w:ascii="仿宋_GB2312" w:eastAsia="仿宋_GB2312"/>
          <w:kern w:val="2"/>
          <w:sz w:val="32"/>
          <w:szCs w:val="32"/>
          <w:lang w:val="zh-CN"/>
        </w:rPr>
        <w:t>科学技术支出（类）</w:t>
      </w:r>
      <w:r>
        <w:rPr>
          <w:rFonts w:hint="eastAsia" w:ascii="仿宋_GB2312" w:eastAsia="仿宋_GB2312"/>
          <w:kern w:val="2"/>
          <w:sz w:val="32"/>
          <w:szCs w:val="32"/>
          <w:lang w:val="zh-CN"/>
        </w:rPr>
        <w:t>123.90</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r>
        <w:rPr>
          <w:rFonts w:ascii="仿宋_GB2312" w:eastAsia="仿宋_GB2312"/>
          <w:kern w:val="2"/>
          <w:sz w:val="32"/>
          <w:szCs w:val="32"/>
        </w:rPr>
        <w:t>%；</w:t>
      </w:r>
    </w:p>
    <w:p>
      <w:pPr>
        <w:ind w:firstLine="640" w:firstLineChars="200"/>
        <w:jc w:val="left"/>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eastAsia="仿宋_GB2312"/>
          <w:sz w:val="32"/>
          <w:szCs w:val="32"/>
          <w:lang w:val="zh-CN"/>
        </w:rPr>
      </w:pPr>
      <w:r>
        <w:rPr>
          <w:rFonts w:hint="eastAsia" w:eastAsia="仿宋_GB2312"/>
          <w:sz w:val="32"/>
          <w:szCs w:val="32"/>
        </w:rPr>
        <w:t>1.科学技术支出（类）应用研究（款）机构运行（项）:支出决算数为123.90万元，比上年决算增加15.69万元，增长14.50%，主要原因是：</w:t>
      </w:r>
      <w:r>
        <w:rPr>
          <w:rFonts w:hint="eastAsia" w:eastAsia="仿宋_GB2312"/>
          <w:sz w:val="32"/>
          <w:szCs w:val="32"/>
          <w:lang w:val="zh-CN"/>
        </w:rPr>
        <w:t>政策性增资。</w:t>
      </w:r>
    </w:p>
    <w:p>
      <w:pPr>
        <w:ind w:firstLine="640" w:firstLineChars="200"/>
        <w:rPr>
          <w:rFonts w:eastAsia="仿宋_GB2312"/>
          <w:sz w:val="32"/>
          <w:szCs w:val="32"/>
          <w:lang w:val="zh-CN"/>
        </w:rPr>
      </w:pPr>
      <w:r>
        <w:rPr>
          <w:rFonts w:hint="eastAsia" w:eastAsia="仿宋_GB2312"/>
          <w:sz w:val="32"/>
          <w:szCs w:val="32"/>
        </w:rPr>
        <w:t>2.科学技术支出（类）科技交流与合作（款）国际交流与合作（项）:支出决算数为0.00万元，比上年决算减少0.79万元，下降100%，主要原因是：</w:t>
      </w:r>
      <w:r>
        <w:rPr>
          <w:rFonts w:hint="eastAsia" w:eastAsia="仿宋_GB2312"/>
          <w:sz w:val="32"/>
          <w:szCs w:val="32"/>
          <w:lang w:val="zh-CN"/>
        </w:rPr>
        <w:t>结亲旅费科目调整至机构运行。</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123.90万元，其中：人员经费116.38万元，包括：基本工资、津贴补贴、奖金、绩效工资、机关事业单位基本养老保险缴费、职工基本医疗保险缴费、公务员医疗补助缴费、其他社会保障缴费、住房公积金。</w:t>
      </w:r>
    </w:p>
    <w:p>
      <w:pPr>
        <w:ind w:firstLine="640" w:firstLineChars="200"/>
        <w:jc w:val="left"/>
        <w:rPr>
          <w:rFonts w:ascii="仿宋_GB2312" w:eastAsia="仿宋_GB2312"/>
          <w:sz w:val="32"/>
          <w:szCs w:val="32"/>
        </w:rPr>
      </w:pPr>
      <w:r>
        <w:rPr>
          <w:rFonts w:hint="eastAsia" w:ascii="仿宋_GB2312" w:eastAsia="仿宋_GB2312"/>
          <w:sz w:val="32"/>
          <w:szCs w:val="32"/>
        </w:rPr>
        <w:t>公用经费7.52万元，包括：办公费、差旅费、工会经费、福利费。</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主要原因是：我单位无财政拨款“三公”经费支出。其中：因公出国（境）费支出0.00万元，占0.00%，比上年增加0.00万元，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主要原因是：我单位无因公出国（境）费；公务用车购置及运行维护费支出0.00万元，占0.00%，比上年增加0.00万元，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主要原因是：我单位无公务用车购置及运行维护费；公务接待费支出0.00万元，占0.00%，比上年增加0.00万元，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主要原因是：我单位无公务接待费。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因公出国（境）费支出0.00万元，开支内容包括我单位无因公出国（境）费。单位全年安排的因公出国（境）团组0个，因公出国（境）0人次。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我单位无公务用车运行维护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0辆</w:t>
      </w:r>
      <w:r>
        <w:rPr>
          <w:rFonts w:hint="default" w:ascii="仿宋_GB2312" w:eastAsia="仿宋_GB2312"/>
          <w:sz w:val="32"/>
          <w:szCs w:val="32"/>
          <w:lang w:val="en-US"/>
        </w:rPr>
        <w:t>,</w:t>
      </w:r>
      <w:r>
        <w:rPr>
          <w:rFonts w:hint="eastAsia" w:ascii="仿宋_GB2312" w:eastAsia="仿宋_GB2312"/>
          <w:sz w:val="32"/>
          <w:szCs w:val="32"/>
          <w:highlight w:val="none"/>
          <w:lang w:val="en-US" w:eastAsia="zh-CN"/>
        </w:rPr>
        <w:t>与</w:t>
      </w:r>
      <w:r>
        <w:rPr>
          <w:rFonts w:hint="eastAsia" w:ascii="仿宋_GB2312" w:eastAsia="仿宋_GB2312"/>
          <w:sz w:val="32"/>
          <w:szCs w:val="32"/>
          <w:highlight w:val="none"/>
        </w:rPr>
        <w:t>公务用车</w:t>
      </w:r>
      <w:r>
        <w:rPr>
          <w:rFonts w:hint="eastAsia" w:ascii="仿宋_GB2312" w:eastAsia="仿宋_GB2312"/>
          <w:sz w:val="32"/>
          <w:szCs w:val="32"/>
          <w:highlight w:val="none"/>
          <w:lang w:val="en-US" w:eastAsia="zh-CN"/>
        </w:rPr>
        <w:t>保有量差异</w:t>
      </w:r>
      <w:r>
        <w:rPr>
          <w:rFonts w:hint="eastAsia" w:ascii="仿宋_GB2312" w:eastAsia="仿宋_GB2312"/>
          <w:sz w:val="32"/>
          <w:szCs w:val="32"/>
          <w:highlight w:val="none"/>
          <w:lang w:eastAsia="zh-CN"/>
        </w:rPr>
        <w:t>原因是</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无差异</w:t>
      </w:r>
      <w:r>
        <w:rPr>
          <w:rFonts w:hint="eastAsia" w:ascii="仿宋_GB2312" w:eastAsia="仿宋_GB2312"/>
          <w:sz w:val="32"/>
          <w:szCs w:val="32"/>
          <w:highlight w:val="none"/>
        </w:rPr>
        <w:t>。</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公务接待费0.00万元，开支内容包括我单位无公务接待费。单位全年安排的国内公务接待0批次，0人次。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预算数0.00万元，决算数0.00万元，预决算差异率0.00%，主要原因是：我单位无财政拨款“三公”经费支出。其中：因公出国（境）费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0.00万元，决算数0.00万元，预决算差异率0.00%，主要原因是：我单位无因公出国（境）费；公务用车购置费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预算数0.00万元，决算数0.00万元，预决算差异率0.00%，主要原因是：我单位无公务用车购置费；公务用车运行费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预算数0.00万元，决算数0.00万元，预决算差异率0.00%，主要原因是：我单位无公务用车运行费；公务接待费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预算数0.00万元，决算数0.00万元，预决算差异率0.00%，主要原因是：我单位无公务接待费。</w:t>
      </w:r>
    </w:p>
    <w:p>
      <w:pPr>
        <w:ind w:firstLine="640" w:firstLineChars="200"/>
        <w:jc w:val="left"/>
        <w:outlineLvl w:val="1"/>
        <w:rPr>
          <w:rFonts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pPr>
        <w:ind w:firstLine="640" w:firstLineChars="200"/>
        <w:jc w:val="left"/>
        <w:rPr>
          <w:rFonts w:eastAsia="仿宋_GB2312"/>
          <w:sz w:val="32"/>
          <w:szCs w:val="32"/>
        </w:rPr>
      </w:pPr>
      <w:bookmarkStart w:id="24" w:name="_Toc26704"/>
      <w:bookmarkStart w:id="25" w:name="_Toc227"/>
      <w:r>
        <w:rPr>
          <w:rFonts w:hint="eastAsia" w:eastAsia="仿宋_GB2312"/>
          <w:sz w:val="32"/>
          <w:szCs w:val="32"/>
          <w:lang w:val="zh-CN"/>
        </w:rPr>
        <w:t>2023年度</w:t>
      </w:r>
      <w:r>
        <w:rPr>
          <w:rFonts w:hint="eastAsia" w:eastAsia="仿宋_GB2312"/>
          <w:sz w:val="32"/>
          <w:szCs w:val="32"/>
        </w:rPr>
        <w:t>新疆维吾尔自治区国际人才交流合作中心（事业单位）公用经费支出7.52万元，</w:t>
      </w:r>
      <w:r>
        <w:rPr>
          <w:rFonts w:hint="eastAsia" w:eastAsia="仿宋_GB2312"/>
          <w:sz w:val="32"/>
          <w:szCs w:val="32"/>
          <w:lang w:val="zh-CN"/>
        </w:rPr>
        <w:t>比上年增加1.0</w:t>
      </w:r>
      <w:r>
        <w:rPr>
          <w:rFonts w:hint="default" w:eastAsia="仿宋_GB2312"/>
          <w:sz w:val="32"/>
          <w:szCs w:val="32"/>
          <w:lang w:val="en-US"/>
        </w:rPr>
        <w:t>2</w:t>
      </w:r>
      <w:r>
        <w:rPr>
          <w:rFonts w:hint="eastAsia" w:eastAsia="仿宋_GB2312"/>
          <w:sz w:val="32"/>
          <w:szCs w:val="32"/>
          <w:lang w:val="zh-CN"/>
        </w:rPr>
        <w:t>万元，增长15.</w:t>
      </w:r>
      <w:r>
        <w:rPr>
          <w:rFonts w:hint="default" w:eastAsia="仿宋_GB2312"/>
          <w:sz w:val="32"/>
          <w:szCs w:val="32"/>
          <w:lang w:val="en-US"/>
        </w:rPr>
        <w:t>69</w:t>
      </w:r>
      <w:bookmarkStart w:id="48" w:name="_GoBack"/>
      <w:bookmarkEnd w:id="48"/>
      <w:r>
        <w:rPr>
          <w:rFonts w:hint="eastAsia" w:eastAsia="仿宋_GB2312"/>
          <w:sz w:val="32"/>
          <w:szCs w:val="32"/>
          <w:lang w:val="zh-CN"/>
        </w:rPr>
        <w:t>%，主要原因是：新聘两名工作人员，差旅费、工会经费和福利费相应增长</w:t>
      </w:r>
      <w:r>
        <w:rPr>
          <w:rFonts w:hint="eastAsia" w:eastAsia="仿宋_GB2312"/>
          <w:sz w:val="32"/>
          <w:szCs w:val="32"/>
        </w:rPr>
        <w:t>。</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eastAsia="仿宋_GB2312"/>
          <w:sz w:val="32"/>
          <w:szCs w:val="32"/>
          <w:lang w:val="zh-CN"/>
        </w:rPr>
      </w:pPr>
      <w:r>
        <w:rPr>
          <w:rFonts w:hint="eastAsia" w:eastAsia="仿宋_GB2312"/>
          <w:sz w:val="32"/>
          <w:szCs w:val="32"/>
          <w:lang w:val="zh-CN"/>
        </w:rPr>
        <w:t>2023年度政府采购支出总额0.82万元，其中：政府采购货物支出0.82万元、政府采购工程支出0.00万元、政府采购服务支出0.00万元。</w:t>
      </w:r>
    </w:p>
    <w:p>
      <w:pPr>
        <w:ind w:firstLine="640" w:firstLineChars="200"/>
        <w:jc w:val="left"/>
        <w:rPr>
          <w:rFonts w:eastAsia="仿宋_GB2312"/>
          <w:sz w:val="32"/>
          <w:szCs w:val="32"/>
        </w:rPr>
      </w:pPr>
      <w:r>
        <w:rPr>
          <w:rFonts w:hint="eastAsia" w:eastAsia="仿宋_GB2312"/>
          <w:sz w:val="32"/>
          <w:szCs w:val="32"/>
          <w:lang w:val="zh-CN"/>
        </w:rPr>
        <w:t>授予中小企业合同金额0.82万元，占政府采购支出总额的100.00</w:t>
      </w:r>
      <w:r>
        <w:rPr>
          <w:rFonts w:eastAsia="仿宋_GB2312"/>
          <w:sz w:val="32"/>
          <w:szCs w:val="32"/>
          <w:lang w:val="zh-CN"/>
        </w:rPr>
        <w:t>%</w:t>
      </w:r>
      <w:r>
        <w:rPr>
          <w:rFonts w:hint="eastAsia" w:eastAsia="仿宋_GB2312"/>
          <w:sz w:val="32"/>
          <w:szCs w:val="32"/>
          <w:lang w:val="zh-CN"/>
        </w:rPr>
        <w:t>，其中：授予小微企业合同金额0.82万元，占政府采购支出总额的100.00</w:t>
      </w:r>
      <w:r>
        <w:rPr>
          <w:rFonts w:eastAsia="仿宋_GB2312"/>
          <w:sz w:val="32"/>
          <w:szCs w:val="32"/>
          <w:lang w:val="zh-CN"/>
        </w:rPr>
        <w:t>%</w:t>
      </w:r>
      <w:r>
        <w:rPr>
          <w:rFonts w:hint="eastAsia" w:eastAsia="仿宋_GB2312"/>
          <w:sz w:val="32"/>
          <w:szCs w:val="32"/>
        </w:rPr>
        <w:t>。</w:t>
      </w:r>
    </w:p>
    <w:p>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pPr>
        <w:ind w:firstLine="640" w:firstLineChars="200"/>
        <w:jc w:val="left"/>
        <w:rPr>
          <w:rFonts w:eastAsia="仿宋_GB2312"/>
          <w:sz w:val="32"/>
          <w:szCs w:val="32"/>
          <w:lang w:val="zh-CN"/>
        </w:rPr>
      </w:pPr>
      <w:r>
        <w:rPr>
          <w:rFonts w:hint="eastAsia" w:eastAsia="仿宋_GB2312"/>
          <w:sz w:val="32"/>
          <w:szCs w:val="32"/>
        </w:rPr>
        <w:t>截至2023</w:t>
      </w:r>
      <w:r>
        <w:rPr>
          <w:rFonts w:hint="eastAsia" w:eastAsia="仿宋_GB2312"/>
          <w:sz w:val="32"/>
          <w:szCs w:val="32"/>
          <w:lang w:val="zh-CN"/>
        </w:rPr>
        <w:t>年</w:t>
      </w:r>
      <w:r>
        <w:rPr>
          <w:rFonts w:hint="eastAsia" w:eastAsia="仿宋_GB2312"/>
          <w:sz w:val="32"/>
          <w:szCs w:val="32"/>
        </w:rPr>
        <w:t>12月31日</w:t>
      </w:r>
      <w:r>
        <w:rPr>
          <w:rFonts w:hint="eastAsia" w:eastAsia="仿宋_GB2312"/>
          <w:sz w:val="32"/>
          <w:szCs w:val="32"/>
          <w:lang w:val="zh-CN"/>
        </w:rPr>
        <w:t>，</w:t>
      </w:r>
      <w:r>
        <w:rPr>
          <w:rFonts w:hint="eastAsia" w:eastAsia="仿宋_GB2312"/>
          <w:sz w:val="32"/>
          <w:szCs w:val="32"/>
        </w:rPr>
        <w:t>固定资产原值</w:t>
      </w:r>
      <w:r>
        <w:rPr>
          <w:rFonts w:hint="eastAsia" w:eastAsia="仿宋_GB2312"/>
          <w:sz w:val="32"/>
          <w:szCs w:val="32"/>
          <w:lang w:val="zh-CN"/>
        </w:rPr>
        <w:t>0.00</w:t>
      </w:r>
      <w:r>
        <w:rPr>
          <w:rFonts w:hint="eastAsia" w:eastAsia="仿宋_GB2312"/>
          <w:sz w:val="32"/>
          <w:szCs w:val="32"/>
        </w:rPr>
        <w:t>万元，房</w:t>
      </w:r>
      <w:r>
        <w:rPr>
          <w:rFonts w:hint="eastAsia" w:eastAsia="仿宋_GB2312"/>
          <w:sz w:val="32"/>
          <w:szCs w:val="32"/>
          <w:lang w:val="zh-CN"/>
        </w:rPr>
        <w:t>屋0.00平方米，价值0.00万元。车辆0辆，价值0.00万元，其中：副部（省）级及以上领导用车0辆、主要</w:t>
      </w:r>
      <w:r>
        <w:rPr>
          <w:rFonts w:hint="eastAsia" w:eastAsia="仿宋_GB2312"/>
          <w:sz w:val="32"/>
          <w:szCs w:val="32"/>
        </w:rPr>
        <w:t>负责人</w:t>
      </w:r>
      <w:r>
        <w:rPr>
          <w:rFonts w:hint="eastAsia" w:eastAsia="仿宋_GB2312"/>
          <w:sz w:val="32"/>
          <w:szCs w:val="32"/>
          <w:lang w:val="zh-CN"/>
        </w:rPr>
        <w:t>用车0辆、机要通信用车0辆、应急保障用车0辆、执法执勤用车0辆、特种专业技术用车0辆、离退休干部</w:t>
      </w:r>
      <w:r>
        <w:rPr>
          <w:rFonts w:hint="eastAsia" w:eastAsia="仿宋_GB2312"/>
          <w:sz w:val="32"/>
          <w:szCs w:val="32"/>
        </w:rPr>
        <w:t>服务</w:t>
      </w:r>
      <w:r>
        <w:rPr>
          <w:rFonts w:hint="eastAsia" w:eastAsia="仿宋_GB2312"/>
          <w:sz w:val="32"/>
          <w:szCs w:val="32"/>
          <w:lang w:val="zh-CN"/>
        </w:rPr>
        <w:t>用车0辆、其他用车0辆，其他用车主要是：我单位无其他用车；单价100万元（含）以上设备（不含车辆）0</w:t>
      </w:r>
      <w:r>
        <w:rPr>
          <w:rFonts w:hint="eastAsia" w:eastAsia="仿宋_GB2312"/>
          <w:sz w:val="32"/>
          <w:szCs w:val="32"/>
        </w:rPr>
        <w:t>台（</w:t>
      </w:r>
      <w:r>
        <w:rPr>
          <w:rFonts w:hint="eastAsia" w:eastAsia="仿宋_GB2312"/>
          <w:sz w:val="32"/>
          <w:szCs w:val="32"/>
          <w:lang w:val="zh-CN"/>
        </w:rPr>
        <w:t>套）。</w:t>
      </w:r>
    </w:p>
    <w:p>
      <w:pPr>
        <w:ind w:firstLine="640" w:firstLineChars="200"/>
        <w:jc w:val="left"/>
        <w:outlineLvl w:val="1"/>
        <w:rPr>
          <w:rFonts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0</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预算总额0.00万元，实际执行总额0.00万元</w:t>
      </w:r>
      <w:r>
        <w:rPr>
          <w:rFonts w:hint="eastAsia" w:ascii="仿宋_GB2312" w:eastAsia="仿宋_GB2312"/>
          <w:sz w:val="32"/>
          <w:szCs w:val="32"/>
          <w:lang w:eastAsia="zh-CN"/>
        </w:rPr>
        <w:t>，我单位整体支出绩效自评是由自治区科技厅（部门）完成</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预算绩效评价项目0个，全年预算数0.00万元，全年执行数0.00万元。预算绩效管理取得的成效：我单位无预算绩效。发现的问题及原因：我单位无预算绩效。下一步改进措施：我单位无预算绩效。</w:t>
      </w:r>
    </w:p>
    <w:p>
      <w:pPr>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pPr>
        <w:jc w:val="center"/>
        <w:outlineLvl w:val="0"/>
        <w:rPr>
          <w:rFonts w:ascii="黑体" w:hAnsi="黑体" w:eastAsia="黑体"/>
          <w:sz w:val="32"/>
          <w:szCs w:val="32"/>
        </w:rPr>
      </w:pPr>
      <w:bookmarkStart w:id="30" w:name="_Toc24143"/>
      <w:bookmarkStart w:id="31"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ascii="黑体" w:hAnsi="黑体" w:eastAsia="仿宋_GB2312" w:cs="宋体"/>
          <w:bCs/>
          <w:kern w:val="0"/>
          <w:sz w:val="32"/>
          <w:szCs w:val="32"/>
        </w:rPr>
      </w:pPr>
      <w:bookmarkStart w:id="32" w:name="_Toc6062"/>
      <w:bookmarkStart w:id="33" w:name="_Toc2183"/>
      <w:r>
        <w:rPr>
          <w:rFonts w:hint="eastAsia" w:ascii="黑体" w:hAnsi="黑体" w:eastAsia="仿宋_GB2312" w:cs="宋体"/>
          <w:bCs/>
          <w:kern w:val="0"/>
          <w:sz w:val="32"/>
          <w:szCs w:val="32"/>
        </w:rPr>
        <w:t>一、《收入支出决算总表》</w:t>
      </w:r>
      <w:bookmarkEnd w:id="32"/>
      <w:bookmarkEnd w:id="33"/>
    </w:p>
    <w:p>
      <w:pPr>
        <w:ind w:firstLine="640" w:firstLineChars="200"/>
        <w:outlineLvl w:val="1"/>
        <w:rPr>
          <w:rFonts w:ascii="黑体" w:hAnsi="黑体" w:eastAsia="仿宋_GB2312" w:cs="宋体"/>
          <w:bCs/>
          <w:kern w:val="0"/>
          <w:sz w:val="32"/>
          <w:szCs w:val="32"/>
        </w:rPr>
      </w:pPr>
      <w:bookmarkStart w:id="34" w:name="_Toc30364"/>
      <w:bookmarkStart w:id="35" w:name="_Toc24532"/>
      <w:r>
        <w:rPr>
          <w:rFonts w:hint="eastAsia" w:ascii="黑体" w:hAnsi="黑体" w:eastAsia="仿宋_GB2312" w:cs="宋体"/>
          <w:bCs/>
          <w:kern w:val="0"/>
          <w:sz w:val="32"/>
          <w:szCs w:val="32"/>
        </w:rPr>
        <w:t>二、《收入决算表》</w:t>
      </w:r>
      <w:bookmarkEnd w:id="34"/>
      <w:bookmarkEnd w:id="35"/>
    </w:p>
    <w:p>
      <w:pPr>
        <w:ind w:firstLine="640" w:firstLineChars="200"/>
        <w:outlineLvl w:val="1"/>
        <w:rPr>
          <w:rFonts w:ascii="黑体" w:hAnsi="黑体" w:eastAsia="仿宋_GB2312" w:cs="宋体"/>
          <w:bCs/>
          <w:kern w:val="0"/>
          <w:sz w:val="32"/>
          <w:szCs w:val="32"/>
        </w:rPr>
      </w:pPr>
      <w:bookmarkStart w:id="36" w:name="_Toc32434"/>
      <w:bookmarkStart w:id="37" w:name="_Toc21304"/>
      <w:r>
        <w:rPr>
          <w:rFonts w:hint="eastAsia" w:ascii="黑体" w:hAnsi="黑体" w:eastAsia="仿宋_GB2312" w:cs="宋体"/>
          <w:bCs/>
          <w:kern w:val="0"/>
          <w:sz w:val="32"/>
          <w:szCs w:val="32"/>
        </w:rPr>
        <w:t>三、《支出决算表》</w:t>
      </w:r>
      <w:bookmarkEnd w:id="36"/>
      <w:bookmarkEnd w:id="37"/>
    </w:p>
    <w:p>
      <w:pPr>
        <w:ind w:firstLine="640" w:firstLineChars="200"/>
        <w:outlineLvl w:val="1"/>
        <w:rPr>
          <w:rFonts w:ascii="黑体" w:hAnsi="黑体" w:eastAsia="仿宋_GB2312" w:cs="宋体"/>
          <w:bCs/>
          <w:kern w:val="0"/>
          <w:sz w:val="32"/>
          <w:szCs w:val="32"/>
        </w:rPr>
      </w:pPr>
      <w:bookmarkStart w:id="38" w:name="_Toc28786"/>
      <w:bookmarkStart w:id="39" w:name="_Toc14238"/>
      <w:r>
        <w:rPr>
          <w:rFonts w:hint="eastAsia" w:ascii="黑体" w:hAnsi="黑体" w:eastAsia="仿宋_GB2312" w:cs="宋体"/>
          <w:bCs/>
          <w:kern w:val="0"/>
          <w:sz w:val="32"/>
          <w:szCs w:val="32"/>
        </w:rPr>
        <w:t>四、《财政拨款收入支出决算总表》</w:t>
      </w:r>
      <w:bookmarkEnd w:id="38"/>
      <w:bookmarkEnd w:id="39"/>
    </w:p>
    <w:p>
      <w:pPr>
        <w:ind w:firstLine="640" w:firstLineChars="200"/>
        <w:outlineLvl w:val="1"/>
        <w:rPr>
          <w:rFonts w:ascii="黑体" w:hAnsi="黑体" w:eastAsia="仿宋_GB2312" w:cs="宋体"/>
          <w:bCs/>
          <w:kern w:val="0"/>
          <w:sz w:val="32"/>
          <w:szCs w:val="32"/>
        </w:rPr>
      </w:pPr>
      <w:bookmarkStart w:id="40" w:name="_Toc14869"/>
      <w:bookmarkStart w:id="41" w:name="_Toc10347"/>
      <w:r>
        <w:rPr>
          <w:rFonts w:hint="eastAsia" w:ascii="黑体" w:hAnsi="黑体" w:eastAsia="仿宋_GB2312" w:cs="宋体"/>
          <w:bCs/>
          <w:kern w:val="0"/>
          <w:sz w:val="32"/>
          <w:szCs w:val="32"/>
        </w:rPr>
        <w:t>五、《一般公共预算财政拨款支出决算表》</w:t>
      </w:r>
      <w:bookmarkEnd w:id="40"/>
      <w:bookmarkEnd w:id="41"/>
    </w:p>
    <w:p>
      <w:pPr>
        <w:ind w:firstLine="640" w:firstLineChars="200"/>
        <w:outlineLvl w:val="1"/>
        <w:rPr>
          <w:rFonts w:ascii="黑体" w:hAnsi="黑体" w:eastAsia="仿宋_GB2312" w:cs="宋体"/>
          <w:bCs/>
          <w:kern w:val="0"/>
          <w:sz w:val="32"/>
          <w:szCs w:val="32"/>
        </w:rPr>
      </w:pPr>
      <w:bookmarkStart w:id="42" w:name="_Toc5626"/>
      <w:bookmarkStart w:id="43" w:name="_Toc8884"/>
      <w:r>
        <w:rPr>
          <w:rFonts w:hint="eastAsia" w:ascii="黑体" w:hAnsi="黑体" w:eastAsia="仿宋_GB2312" w:cs="宋体"/>
          <w:bCs/>
          <w:kern w:val="0"/>
          <w:sz w:val="32"/>
          <w:szCs w:val="32"/>
        </w:rPr>
        <w:t>六、《一般公共预算财政拨款基本支出决算表》</w:t>
      </w:r>
      <w:bookmarkEnd w:id="42"/>
      <w:bookmarkEnd w:id="43"/>
    </w:p>
    <w:p>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pPr>
        <w:ind w:firstLine="640" w:firstLineChars="200"/>
        <w:outlineLvl w:val="1"/>
        <w:rPr>
          <w:rFonts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jAyOGZmZWJiZjkzMTc5MjUxM2FlYjUzNmFjOTJhZmYifQ=="/>
    <w:docVar w:name="KSO_WPS_MARK_KEY" w:val="41ee2a61-2d54-4f93-83be-afdb9a40d732"/>
  </w:docVars>
  <w:rsids>
    <w:rsidRoot w:val="00BA4029"/>
    <w:rsid w:val="000326DA"/>
    <w:rsid w:val="0013633E"/>
    <w:rsid w:val="00213C59"/>
    <w:rsid w:val="003210CE"/>
    <w:rsid w:val="00416166"/>
    <w:rsid w:val="005B2FC9"/>
    <w:rsid w:val="007512BB"/>
    <w:rsid w:val="00B70D59"/>
    <w:rsid w:val="00BA4029"/>
    <w:rsid w:val="00BC74FD"/>
    <w:rsid w:val="00C41FFE"/>
    <w:rsid w:val="00C46AD8"/>
    <w:rsid w:val="00CA7874"/>
    <w:rsid w:val="00DD752A"/>
    <w:rsid w:val="00DF32CD"/>
    <w:rsid w:val="00E30E8B"/>
    <w:rsid w:val="00E91C5D"/>
    <w:rsid w:val="00F52A8D"/>
    <w:rsid w:val="019404F8"/>
    <w:rsid w:val="02BD3108"/>
    <w:rsid w:val="02F73D26"/>
    <w:rsid w:val="034D4FEF"/>
    <w:rsid w:val="035D1785"/>
    <w:rsid w:val="039F47CE"/>
    <w:rsid w:val="03E05CE8"/>
    <w:rsid w:val="03F973EE"/>
    <w:rsid w:val="043E5B56"/>
    <w:rsid w:val="04C04386"/>
    <w:rsid w:val="04D96608"/>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B43958"/>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9E374A7"/>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C67C95"/>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2B0ABA"/>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 w:val="FDBB60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819</Words>
  <Characters>4674</Characters>
  <Lines>38</Lines>
  <Paragraphs>10</Paragraphs>
  <TotalTime>2</TotalTime>
  <ScaleCrop>false</ScaleCrop>
  <LinksUpToDate>false</LinksUpToDate>
  <CharactersWithSpaces>5483</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2024-08-20T17:37:00Z</dcterms:created>
  <dc:creator>GXR</dc:creator>
  <cp:lastModifiedBy>Administrator</cp:lastModifiedBy>
  <dcterms:modified xsi:type="dcterms:W3CDTF">2024-10-30T02:49:55Z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D624B15633CD43C8BF9435464A96BF70</vt:lpwstr>
  </property>
</Properties>
</file>