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新疆维吾尔自治区科学技术厅（本级）</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620" w:lineRule="exact"/>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pStyle w:val="8"/>
        <w:keepNext w:val="0"/>
        <w:keepLines w:val="0"/>
        <w:pageBreakBefore w:val="0"/>
        <w:widowControl w:val="0"/>
        <w:tabs>
          <w:tab w:val="right" w:pos="8306"/>
        </w:tabs>
        <w:kinsoku/>
        <w:wordWrap/>
        <w:overflowPunct/>
        <w:topLinePunct w:val="0"/>
        <w:autoSpaceDE/>
        <w:autoSpaceDN/>
        <w:bidi w:val="0"/>
        <w:adjustRightInd/>
        <w:snapToGrid/>
        <w:spacing w:line="620" w:lineRule="exact"/>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0"/>
        <w:rPr>
          <w:rFonts w:hint="eastAsia" w:ascii="黑体" w:hAnsi="黑体" w:eastAsia="黑体"/>
          <w:color w:val="auto"/>
          <w:sz w:val="32"/>
          <w:szCs w:val="32"/>
          <w:highlight w:val="none"/>
        </w:rPr>
      </w:pPr>
    </w:p>
    <w:p>
      <w:pPr>
        <w:pStyle w:val="16"/>
        <w:numPr>
          <w:ilvl w:val="0"/>
          <w:numId w:val="0"/>
        </w:numPr>
        <w:tabs>
          <w:tab w:val="left" w:pos="1083"/>
        </w:tabs>
        <w:spacing w:before="4" w:after="0" w:line="331" w:lineRule="auto"/>
        <w:ind w:left="760" w:leftChars="0" w:right="912" w:rightChars="0"/>
        <w:jc w:val="left"/>
        <w:rPr>
          <w:rFonts w:hint="eastAsia"/>
          <w:b/>
          <w:bCs/>
          <w:w w:val="90"/>
          <w:sz w:val="32"/>
        </w:rPr>
      </w:pPr>
      <w:bookmarkStart w:id="2" w:name="_Toc30567"/>
      <w:bookmarkStart w:id="3" w:name="_Toc30738"/>
      <w:r>
        <w:rPr>
          <w:rFonts w:hint="eastAsia"/>
          <w:b/>
          <w:bCs/>
          <w:w w:val="90"/>
          <w:sz w:val="32"/>
        </w:rPr>
        <w:t>一、主要职能</w:t>
      </w:r>
      <w:bookmarkEnd w:id="2"/>
      <w:bookmarkEnd w:id="3"/>
    </w:p>
    <w:p>
      <w:pPr>
        <w:pStyle w:val="16"/>
        <w:numPr>
          <w:ilvl w:val="0"/>
          <w:numId w:val="2"/>
        </w:numPr>
        <w:tabs>
          <w:tab w:val="left" w:pos="1083"/>
        </w:tabs>
        <w:spacing w:before="4" w:after="0" w:line="331" w:lineRule="auto"/>
        <w:ind w:left="120" w:right="912" w:firstLine="640"/>
        <w:jc w:val="left"/>
      </w:pPr>
      <w:r>
        <w:rPr>
          <w:w w:val="90"/>
          <w:sz w:val="32"/>
        </w:rPr>
        <w:t>新疆维吾尔自治区科学技术厅是自治区级单位，是主管科技工作的自治区人民政府组成部门，单位性质是行政单位。自治区科学技术厅的主要职责有：</w:t>
      </w:r>
    </w:p>
    <w:p>
      <w:pPr>
        <w:pStyle w:val="16"/>
        <w:numPr>
          <w:ilvl w:val="0"/>
          <w:numId w:val="2"/>
        </w:numPr>
        <w:tabs>
          <w:tab w:val="left" w:pos="1083"/>
        </w:tabs>
        <w:spacing w:before="4" w:after="0" w:line="331" w:lineRule="auto"/>
        <w:ind w:left="120" w:right="912" w:firstLine="640"/>
        <w:jc w:val="left"/>
        <w:rPr>
          <w:sz w:val="32"/>
        </w:rPr>
      </w:pPr>
      <w:r>
        <w:rPr>
          <w:w w:val="90"/>
          <w:sz w:val="32"/>
        </w:rPr>
        <w:t>贯彻落实国家创新驱动发展战略方针、拟订自治区科技</w:t>
      </w:r>
      <w:r>
        <w:rPr>
          <w:spacing w:val="-3"/>
          <w:sz w:val="32"/>
        </w:rPr>
        <w:t>发展、引进国外智力规划和政策并组织实施。</w:t>
      </w:r>
    </w:p>
    <w:p>
      <w:pPr>
        <w:pStyle w:val="16"/>
        <w:numPr>
          <w:ilvl w:val="0"/>
          <w:numId w:val="2"/>
        </w:numPr>
        <w:tabs>
          <w:tab w:val="left" w:pos="1083"/>
        </w:tabs>
        <w:spacing w:before="0" w:after="0" w:line="331" w:lineRule="auto"/>
        <w:ind w:left="120" w:right="482" w:firstLine="640"/>
        <w:jc w:val="both"/>
        <w:rPr>
          <w:sz w:val="32"/>
        </w:rPr>
      </w:pPr>
      <w:r>
        <w:rPr>
          <w:spacing w:val="22"/>
          <w:w w:val="90"/>
          <w:sz w:val="32"/>
        </w:rPr>
        <w:t>统筹推进自治区创新体系建设和科技体制改革，会同</w:t>
      </w:r>
      <w:r>
        <w:rPr>
          <w:spacing w:val="24"/>
          <w:w w:val="95"/>
          <w:sz w:val="32"/>
        </w:rPr>
        <w:t>有关部门健全技术创新激励机制。优化科研体系建设，</w:t>
      </w:r>
      <w:r>
        <w:rPr>
          <w:spacing w:val="3"/>
          <w:w w:val="90"/>
          <w:sz w:val="32"/>
        </w:rPr>
        <w:t>指导科研机构改革发展，推动企业科技创新能力建设，承担推</w:t>
      </w:r>
      <w:r>
        <w:rPr>
          <w:spacing w:val="2"/>
          <w:w w:val="95"/>
          <w:sz w:val="32"/>
        </w:rPr>
        <w:t>进科技军民融合发展相关工作，推进自治区重大科技决策咨</w:t>
      </w:r>
      <w:r>
        <w:rPr>
          <w:spacing w:val="-4"/>
          <w:sz w:val="32"/>
        </w:rPr>
        <w:t>询制度建设。</w:t>
      </w:r>
    </w:p>
    <w:p>
      <w:pPr>
        <w:pStyle w:val="16"/>
        <w:numPr>
          <w:ilvl w:val="0"/>
          <w:numId w:val="2"/>
        </w:numPr>
        <w:tabs>
          <w:tab w:val="left" w:pos="1083"/>
        </w:tabs>
        <w:spacing w:before="6" w:after="0" w:line="331" w:lineRule="auto"/>
        <w:ind w:left="120" w:right="486" w:firstLine="640"/>
        <w:jc w:val="both"/>
        <w:rPr>
          <w:sz w:val="32"/>
        </w:rPr>
      </w:pPr>
      <w:r>
        <w:rPr>
          <w:spacing w:val="16"/>
          <w:w w:val="90"/>
          <w:sz w:val="32"/>
        </w:rPr>
        <w:t>牵头建立自治区科技管理平台和科研项目资金协调、评</w:t>
      </w:r>
      <w:r>
        <w:rPr>
          <w:spacing w:val="24"/>
          <w:w w:val="95"/>
          <w:sz w:val="32"/>
        </w:rPr>
        <w:t>估、监管机制。会同有关部门提出优化配置科技资源的政策措施建议，推动多元化科技投入体系建设，协调管</w:t>
      </w:r>
      <w:r>
        <w:rPr>
          <w:sz w:val="32"/>
        </w:rPr>
        <w:t>理自治区财政科技计划</w:t>
      </w:r>
      <w:r>
        <w:rPr>
          <w:spacing w:val="-5"/>
          <w:sz w:val="32"/>
        </w:rPr>
        <w:t>（专项、基金等</w:t>
      </w:r>
      <w:r>
        <w:rPr>
          <w:spacing w:val="-3"/>
          <w:sz w:val="32"/>
        </w:rPr>
        <w:t>）</w:t>
      </w:r>
      <w:r>
        <w:rPr>
          <w:spacing w:val="-5"/>
          <w:sz w:val="32"/>
        </w:rPr>
        <w:t>并监督实施。</w:t>
      </w:r>
    </w:p>
    <w:p>
      <w:pPr>
        <w:pStyle w:val="16"/>
        <w:numPr>
          <w:ilvl w:val="0"/>
          <w:numId w:val="2"/>
        </w:numPr>
        <w:tabs>
          <w:tab w:val="left" w:pos="1083"/>
        </w:tabs>
        <w:spacing w:before="5" w:after="0" w:line="331" w:lineRule="auto"/>
        <w:ind w:left="120" w:right="485" w:firstLine="640"/>
        <w:jc w:val="both"/>
        <w:rPr>
          <w:sz w:val="32"/>
        </w:rPr>
      </w:pPr>
      <w:r>
        <w:rPr>
          <w:spacing w:val="31"/>
          <w:w w:val="85"/>
          <w:sz w:val="32"/>
        </w:rPr>
        <w:t>拟订自治区基础研究规划、政策和标准并组织实施，</w:t>
      </w:r>
      <w:r>
        <w:rPr>
          <w:spacing w:val="24"/>
          <w:w w:val="95"/>
          <w:sz w:val="32"/>
        </w:rPr>
        <w:t>组织协调自治区重大基础研究和应用基础研究。拟订重</w:t>
      </w:r>
      <w:r>
        <w:rPr>
          <w:spacing w:val="13"/>
          <w:sz w:val="32"/>
        </w:rPr>
        <w:t>大科技创新基地建设规划并监督实施，参与编制重大科</w:t>
      </w:r>
      <w:r>
        <w:rPr>
          <w:spacing w:val="27"/>
          <w:sz w:val="32"/>
        </w:rPr>
        <w:t>技基础设施建设规划并监督实施，牵头推进国家实验</w:t>
      </w:r>
      <w:r>
        <w:rPr>
          <w:spacing w:val="26"/>
          <w:sz w:val="32"/>
        </w:rPr>
        <w:t>室、国家重点实验室建设，组织自治区重点实验室建</w:t>
      </w:r>
      <w:r>
        <w:rPr>
          <w:sz w:val="32"/>
        </w:rPr>
        <w:t>设，推动科研条件保障建设和科技资源开放共享。</w:t>
      </w:r>
    </w:p>
    <w:p>
      <w:pPr>
        <w:spacing w:after="0" w:line="331" w:lineRule="auto"/>
        <w:jc w:val="both"/>
        <w:rPr>
          <w:sz w:val="32"/>
        </w:rPr>
        <w:sectPr>
          <w:pgSz w:w="11910" w:h="16840"/>
          <w:pgMar w:top="1500" w:right="1300" w:bottom="1160" w:left="1680" w:header="0" w:footer="978" w:gutter="0"/>
          <w:cols w:space="720" w:num="1"/>
        </w:sectPr>
      </w:pPr>
    </w:p>
    <w:p>
      <w:pPr>
        <w:pStyle w:val="16"/>
        <w:numPr>
          <w:ilvl w:val="0"/>
          <w:numId w:val="2"/>
        </w:numPr>
        <w:tabs>
          <w:tab w:val="left" w:pos="1083"/>
        </w:tabs>
        <w:spacing w:before="61" w:after="0" w:line="331" w:lineRule="auto"/>
        <w:ind w:left="120" w:right="496" w:firstLine="640"/>
        <w:jc w:val="both"/>
        <w:rPr>
          <w:sz w:val="32"/>
        </w:rPr>
      </w:pPr>
      <w:r>
        <w:rPr>
          <w:spacing w:val="16"/>
          <w:w w:val="85"/>
          <w:sz w:val="32"/>
        </w:rPr>
        <w:t>编制自治区重大科技项目规划并监督实施，统筹关键共</w:t>
      </w:r>
      <w:r>
        <w:rPr>
          <w:spacing w:val="31"/>
          <w:w w:val="90"/>
          <w:sz w:val="32"/>
        </w:rPr>
        <w:t>性技术、前沿引领技术、现代工程技术、颠覆性技术研发</w:t>
      </w:r>
      <w:r>
        <w:rPr>
          <w:spacing w:val="18"/>
          <w:w w:val="90"/>
          <w:sz w:val="32"/>
        </w:rPr>
        <w:t>和创新，牵头组织重大技术攻关和成果应用示范。协调实施</w:t>
      </w:r>
      <w:r>
        <w:rPr>
          <w:spacing w:val="13"/>
          <w:sz w:val="32"/>
        </w:rPr>
        <w:t>国际大科学计划和大科学工程在自治区的实施。</w:t>
      </w:r>
    </w:p>
    <w:p>
      <w:pPr>
        <w:pStyle w:val="16"/>
        <w:numPr>
          <w:ilvl w:val="0"/>
          <w:numId w:val="2"/>
        </w:numPr>
        <w:tabs>
          <w:tab w:val="left" w:pos="1083"/>
        </w:tabs>
        <w:spacing w:before="5" w:after="0" w:line="331" w:lineRule="auto"/>
        <w:ind w:left="120" w:right="500" w:firstLine="640"/>
        <w:jc w:val="both"/>
        <w:rPr>
          <w:sz w:val="32"/>
        </w:rPr>
      </w:pPr>
      <w:r>
        <w:rPr>
          <w:spacing w:val="30"/>
          <w:w w:val="85"/>
          <w:sz w:val="32"/>
        </w:rPr>
        <w:t>组织拟订高新技术发展及产业化、科技促进农业农村</w:t>
      </w:r>
      <w:r>
        <w:rPr>
          <w:spacing w:val="24"/>
          <w:w w:val="95"/>
          <w:sz w:val="32"/>
        </w:rPr>
        <w:t>和社会发展的规划、政策和措施。组织重点领域的技术</w:t>
      </w:r>
      <w:r>
        <w:rPr>
          <w:sz w:val="32"/>
        </w:rPr>
        <w:t>发展需求分析，提出重大任务并监督实施。</w:t>
      </w:r>
    </w:p>
    <w:p>
      <w:pPr>
        <w:pStyle w:val="16"/>
        <w:numPr>
          <w:ilvl w:val="0"/>
          <w:numId w:val="2"/>
        </w:numPr>
        <w:tabs>
          <w:tab w:val="left" w:pos="1083"/>
        </w:tabs>
        <w:spacing w:before="0" w:after="0" w:line="331" w:lineRule="auto"/>
        <w:ind w:left="120" w:right="474" w:firstLine="640"/>
        <w:jc w:val="both"/>
        <w:rPr>
          <w:sz w:val="32"/>
        </w:rPr>
      </w:pPr>
      <w:r>
        <w:rPr>
          <w:spacing w:val="19"/>
          <w:w w:val="85"/>
          <w:sz w:val="32"/>
        </w:rPr>
        <w:t>牵头自治区技术转移体系建设，拟订科技成果转移转化</w:t>
      </w:r>
      <w:r>
        <w:rPr>
          <w:spacing w:val="12"/>
          <w:w w:val="90"/>
          <w:sz w:val="32"/>
        </w:rPr>
        <w:t>和促进产学研结合的相关政策措施并监督实施。指导科技服务</w:t>
      </w:r>
      <w:r>
        <w:rPr>
          <w:sz w:val="32"/>
        </w:rPr>
        <w:t>业、技术市场和科技中介组织发展。</w:t>
      </w:r>
    </w:p>
    <w:p>
      <w:pPr>
        <w:pStyle w:val="16"/>
        <w:numPr>
          <w:ilvl w:val="0"/>
          <w:numId w:val="2"/>
        </w:numPr>
        <w:tabs>
          <w:tab w:val="left" w:pos="1083"/>
        </w:tabs>
        <w:spacing w:before="5" w:after="0" w:line="328" w:lineRule="auto"/>
        <w:ind w:left="120" w:right="518" w:firstLine="640"/>
        <w:jc w:val="left"/>
        <w:rPr>
          <w:sz w:val="32"/>
        </w:rPr>
      </w:pPr>
      <w:r>
        <w:rPr>
          <w:spacing w:val="16"/>
          <w:w w:val="90"/>
          <w:sz w:val="32"/>
        </w:rPr>
        <w:t>统筹区域科技创新体系建设，指导区域创新发展、科技</w:t>
      </w:r>
      <w:r>
        <w:rPr>
          <w:w w:val="95"/>
          <w:sz w:val="32"/>
        </w:rPr>
        <w:t>资源合理布局和协同创新能力建设，推动科技园区建设。</w:t>
      </w:r>
    </w:p>
    <w:p>
      <w:pPr>
        <w:pStyle w:val="16"/>
        <w:numPr>
          <w:ilvl w:val="0"/>
          <w:numId w:val="2"/>
        </w:numPr>
        <w:tabs>
          <w:tab w:val="left" w:pos="1083"/>
        </w:tabs>
        <w:spacing w:before="12" w:after="0" w:line="331" w:lineRule="auto"/>
        <w:ind w:left="120" w:right="474" w:firstLine="640"/>
        <w:jc w:val="both"/>
        <w:rPr>
          <w:sz w:val="32"/>
        </w:rPr>
      </w:pPr>
      <w:r>
        <w:rPr>
          <w:spacing w:val="6"/>
          <w:w w:val="85"/>
          <w:sz w:val="32"/>
        </w:rPr>
        <w:t>负责科技监督评价体系建设和相关科技评估管理，指导科</w:t>
      </w:r>
      <w:r>
        <w:rPr>
          <w:spacing w:val="10"/>
          <w:w w:val="90"/>
          <w:sz w:val="32"/>
        </w:rPr>
        <w:t>技评价机制改革，统筹科研诚信建设。落实国家创新调查和科</w:t>
      </w:r>
      <w:r>
        <w:rPr>
          <w:spacing w:val="10"/>
          <w:sz w:val="32"/>
        </w:rPr>
        <w:t>技报告制度，指导自治区科技保密工作。</w:t>
      </w:r>
    </w:p>
    <w:p>
      <w:pPr>
        <w:pStyle w:val="16"/>
        <w:numPr>
          <w:ilvl w:val="0"/>
          <w:numId w:val="2"/>
        </w:numPr>
        <w:tabs>
          <w:tab w:val="left" w:pos="1258"/>
        </w:tabs>
        <w:spacing w:before="4" w:after="0" w:line="331" w:lineRule="auto"/>
        <w:ind w:left="120" w:right="504" w:firstLine="652"/>
        <w:jc w:val="both"/>
        <w:rPr>
          <w:sz w:val="32"/>
        </w:rPr>
      </w:pPr>
      <w:r>
        <w:rPr>
          <w:spacing w:val="22"/>
          <w:w w:val="90"/>
          <w:sz w:val="32"/>
        </w:rPr>
        <w:t>拟订科技对外交往与创新能力开放合作的规划、政策</w:t>
      </w:r>
      <w:r>
        <w:rPr>
          <w:spacing w:val="29"/>
          <w:w w:val="90"/>
          <w:sz w:val="32"/>
        </w:rPr>
        <w:t>和措施，组织国际科技合作与科技人才交流活动。指导相</w:t>
      </w:r>
      <w:r>
        <w:rPr>
          <w:sz w:val="32"/>
        </w:rPr>
        <w:t>关部门和地方对外科技合作与科技人才交流工作。</w:t>
      </w:r>
    </w:p>
    <w:p>
      <w:pPr>
        <w:pStyle w:val="16"/>
        <w:numPr>
          <w:ilvl w:val="0"/>
          <w:numId w:val="2"/>
        </w:numPr>
        <w:tabs>
          <w:tab w:val="left" w:pos="1258"/>
        </w:tabs>
        <w:spacing w:before="2" w:after="0" w:line="333" w:lineRule="auto"/>
        <w:ind w:left="120" w:right="494" w:firstLine="652"/>
        <w:jc w:val="both"/>
        <w:rPr>
          <w:sz w:val="32"/>
        </w:rPr>
      </w:pPr>
      <w:r>
        <w:rPr>
          <w:spacing w:val="37"/>
          <w:w w:val="85"/>
          <w:sz w:val="32"/>
        </w:rPr>
        <w:t>负责引进国外智力工作。拟订自治区重点引进外国</w:t>
      </w:r>
      <w:r>
        <w:rPr>
          <w:spacing w:val="27"/>
          <w:sz w:val="32"/>
        </w:rPr>
        <w:t>专家总体规划、计划并组织实施，建立外国顶尖科学</w:t>
      </w:r>
      <w:r>
        <w:rPr>
          <w:spacing w:val="15"/>
          <w:w w:val="90"/>
          <w:sz w:val="32"/>
        </w:rPr>
        <w:t>家、团队吸引集聚机制和重点外国专家联系服务机制。拟订</w:t>
      </w:r>
      <w:r>
        <w:rPr>
          <w:spacing w:val="7"/>
          <w:sz w:val="32"/>
        </w:rPr>
        <w:t>出国</w:t>
      </w:r>
    </w:p>
    <w:p>
      <w:pPr>
        <w:pStyle w:val="3"/>
        <w:spacing w:line="403" w:lineRule="exact"/>
      </w:pPr>
      <w:r>
        <w:t>（境）培训总体规划、政策和年度计划并监督实施。</w:t>
      </w:r>
    </w:p>
    <w:p>
      <w:pPr>
        <w:spacing w:after="0" w:line="403" w:lineRule="exact"/>
        <w:sectPr>
          <w:pgSz w:w="11910" w:h="16840"/>
          <w:pgMar w:top="1600" w:right="1300" w:bottom="1160" w:left="1680" w:header="0" w:footer="978" w:gutter="0"/>
          <w:cols w:space="720" w:num="1"/>
        </w:sectPr>
      </w:pPr>
    </w:p>
    <w:p>
      <w:pPr>
        <w:pStyle w:val="16"/>
        <w:numPr>
          <w:ilvl w:val="0"/>
          <w:numId w:val="2"/>
        </w:numPr>
        <w:tabs>
          <w:tab w:val="left" w:pos="1258"/>
        </w:tabs>
        <w:spacing w:before="61" w:after="0" w:line="331" w:lineRule="auto"/>
        <w:ind w:left="120" w:right="501" w:firstLine="652"/>
        <w:jc w:val="both"/>
        <w:rPr>
          <w:sz w:val="32"/>
        </w:rPr>
      </w:pPr>
      <w:bookmarkStart w:id="4" w:name="_bookmark3"/>
      <w:bookmarkEnd w:id="4"/>
      <w:bookmarkStart w:id="5" w:name="_bookmark3"/>
      <w:bookmarkEnd w:id="5"/>
      <w:r>
        <w:rPr>
          <w:spacing w:val="4"/>
          <w:w w:val="95"/>
          <w:sz w:val="32"/>
        </w:rPr>
        <w:t>会同有关部门拟订科技人才队伍建设规划和政策，</w:t>
      </w:r>
      <w:r>
        <w:rPr>
          <w:spacing w:val="6"/>
          <w:w w:val="90"/>
          <w:sz w:val="32"/>
        </w:rPr>
        <w:t>建立健全科技人才评价和激励机制，组织实施科技人才计划，</w:t>
      </w:r>
      <w:r>
        <w:rPr>
          <w:spacing w:val="2"/>
          <w:w w:val="95"/>
          <w:sz w:val="32"/>
        </w:rPr>
        <w:t>推动高端科技创新人才队伍建设。拟订科学普及和科学传播规</w:t>
      </w:r>
      <w:r>
        <w:rPr>
          <w:spacing w:val="2"/>
          <w:sz w:val="32"/>
        </w:rPr>
        <w:t>划、政策。</w:t>
      </w:r>
    </w:p>
    <w:p>
      <w:pPr>
        <w:pStyle w:val="16"/>
        <w:numPr>
          <w:ilvl w:val="0"/>
          <w:numId w:val="2"/>
        </w:numPr>
        <w:tabs>
          <w:tab w:val="left" w:pos="1258"/>
        </w:tabs>
        <w:spacing w:before="5" w:after="0" w:line="331" w:lineRule="auto"/>
        <w:ind w:left="120" w:right="960" w:firstLine="652"/>
        <w:jc w:val="left"/>
        <w:rPr>
          <w:sz w:val="32"/>
        </w:rPr>
      </w:pPr>
      <w:r>
        <w:rPr>
          <w:spacing w:val="2"/>
          <w:w w:val="90"/>
          <w:sz w:val="32"/>
        </w:rPr>
        <w:t>负责自治区科学技术奖、自治区人民政府天山奖的评</w:t>
      </w:r>
      <w:r>
        <w:rPr>
          <w:spacing w:val="4"/>
          <w:sz w:val="32"/>
        </w:rPr>
        <w:t>审组织工作。</w:t>
      </w:r>
    </w:p>
    <w:p>
      <w:pPr>
        <w:pStyle w:val="16"/>
        <w:numPr>
          <w:ilvl w:val="0"/>
          <w:numId w:val="2"/>
        </w:numPr>
        <w:tabs>
          <w:tab w:val="left" w:pos="1241"/>
        </w:tabs>
        <w:spacing w:before="0" w:after="0" w:line="409" w:lineRule="exact"/>
        <w:ind w:left="1240" w:right="0" w:hanging="485"/>
        <w:jc w:val="left"/>
        <w:rPr>
          <w:rFonts w:hint="eastAsia" w:ascii="黑体" w:hAnsi="黑体" w:eastAsia="黑体" w:cs="宋体"/>
          <w:bCs/>
          <w:color w:val="auto"/>
          <w:kern w:val="0"/>
          <w:sz w:val="32"/>
          <w:szCs w:val="32"/>
          <w:highlight w:val="none"/>
        </w:rPr>
      </w:pPr>
      <w:r>
        <w:rPr>
          <w:spacing w:val="-3"/>
          <w:sz w:val="32"/>
        </w:rPr>
        <w:t>完成自治区党委、自治区人民政府交办的其他任务。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31238"/>
      <w:bookmarkStart w:id="7" w:name="_Toc21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6"/>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新疆维吾尔自治区科学技术厅（本级）</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181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88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93</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单位无下属预算单位，下设16个处室，分别是：办公室、发展规划处、政策法规与创新体系建设处、资源配置与管理处、科技监督与诚信建设处、自创区建设与科技援疆处、高新技术处、农村科技处、社会发展与基础研究处、成果转化与科技奖励处、外国专家服务处、引进智力与人才服务处、国际合作处、人事处、机关党委、离退休干部处。</w:t>
      </w:r>
      <w:bookmarkStart w:id="8" w:name="_Toc3092"/>
      <w:bookmarkStart w:id="9" w:name="_Toc29374"/>
    </w:p>
    <w:p>
      <w:pPr>
        <w:keepNext w:val="0"/>
        <w:keepLines w:val="0"/>
        <w:pageBreakBefore w:val="0"/>
        <w:widowControl w:val="0"/>
        <w:kinsoku/>
        <w:wordWrap/>
        <w:overflowPunct/>
        <w:topLinePunct w:val="0"/>
        <w:bidi w:val="0"/>
        <w:adjustRightInd/>
        <w:snapToGrid/>
        <w:spacing w:line="240" w:lineRule="auto"/>
        <w:ind w:firstLine="640" w:firstLineChars="200"/>
        <w:jc w:val="center"/>
        <w:textAlignment w:val="auto"/>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jc w:val="center"/>
        <w:textAlignment w:val="auto"/>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jc w:val="center"/>
        <w:textAlignment w:val="auto"/>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jc w:val="center"/>
        <w:textAlignment w:val="auto"/>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jc w:val="center"/>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部分部门决算情况说明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566"/>
      <w:bookmarkStart w:id="11" w:name="_Toc25314"/>
      <w:r>
        <w:rPr>
          <w:rFonts w:hint="eastAsia" w:ascii="黑体" w:hAnsi="黑体" w:eastAsia="黑体" w:cs="宋体"/>
          <w:bCs/>
          <w:color w:val="auto"/>
          <w:kern w:val="0"/>
          <w:sz w:val="32"/>
          <w:szCs w:val="32"/>
          <w:highlight w:val="none"/>
        </w:rPr>
        <w:t>一、收入支出决算总体情况说明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23,671.05万元，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21,031.96万元，使用非财政拨款结余0.00万元，年初结转和结余2,639.10万元。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23,671.05万元，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20,738.33万元，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0.00万元，年末结转和结余2,932.72万元。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增加3,744.67万元</w:t>
      </w:r>
      <w:r>
        <w:rPr>
          <w:rFonts w:hint="eastAsia" w:ascii="仿宋_GB2312" w:eastAsia="仿宋_GB2312"/>
          <w:color w:val="auto"/>
          <w:spacing w:val="0"/>
          <w:sz w:val="32"/>
          <w:szCs w:val="32"/>
          <w:highlight w:val="none"/>
          <w:lang w:eastAsia="zh-CN"/>
        </w:rPr>
        <w:t>，增长18.79%，主要原因是：</w:t>
      </w:r>
      <w:r>
        <w:rPr>
          <w:rFonts w:hint="eastAsia" w:ascii="仿宋_GB2312" w:eastAsia="仿宋_GB2312"/>
          <w:sz w:val="32"/>
          <w:szCs w:val="32"/>
        </w:rPr>
        <w:t>人员增加，政策性增资因素使得人员经费增加，财政科技投入及本级横向经费增加使得项目经费增加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2" w:name="_Toc12142"/>
      <w:bookmarkStart w:id="13"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21,031.96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16,671.06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79.27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4,360.90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20.73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13201"/>
      <w:bookmarkStart w:id="15" w:name="_Toc27961"/>
      <w:r>
        <w:rPr>
          <w:rFonts w:hint="eastAsia" w:ascii="黑体" w:hAnsi="黑体" w:eastAsia="黑体" w:cs="宋体"/>
          <w:bCs/>
          <w:color w:val="auto"/>
          <w:kern w:val="0"/>
          <w:sz w:val="32"/>
          <w:szCs w:val="32"/>
          <w:highlight w:val="none"/>
          <w:lang w:eastAsia="zh-CN"/>
        </w:rPr>
        <w:t>三、支出决算情况说明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本年支出20,738.33万元，其中：基本支出2,714.42万元，占13.09%；项目支出18,023.91万元，占86.91%；上缴上级支出0.00万元，占0.00%；经营支出0.00万元，占0.00%；对附属单位补助支出0.00万元，占0.00%。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6564"/>
      <w:bookmarkStart w:id="17" w:name="_Toc4393"/>
      <w:r>
        <w:rPr>
          <w:rFonts w:hint="eastAsia" w:ascii="黑体" w:hAnsi="黑体" w:eastAsia="黑体" w:cs="宋体"/>
          <w:bCs/>
          <w:color w:val="auto"/>
          <w:kern w:val="0"/>
          <w:sz w:val="32"/>
          <w:szCs w:val="32"/>
          <w:highlight w:val="none"/>
          <w:lang w:eastAsia="zh-CN"/>
        </w:rPr>
        <w:t>四、财政拨款收入支出决算总体情况说明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17,144.16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473.10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16,671.06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17,144.16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1,292.76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15,851.40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增加2,242.27万元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增长15.05%,</w:t>
      </w:r>
      <w:r>
        <w:rPr>
          <w:rFonts w:hint="eastAsia" w:ascii="仿宋_GB2312" w:eastAsia="仿宋_GB2312"/>
          <w:color w:val="auto"/>
          <w:spacing w:val="0"/>
          <w:sz w:val="32"/>
          <w:szCs w:val="32"/>
          <w:highlight w:val="none"/>
          <w:lang w:eastAsia="zh-CN"/>
        </w:rPr>
        <w:t>主要原因是：本年追加“科研创新平台人才团队支持计划”及“天山英才”计划项目经费。与年初预算相比，年初预算数</w:t>
      </w:r>
      <w:r>
        <w:rPr>
          <w:rFonts w:hint="eastAsia" w:ascii="仿宋_GB2312" w:eastAsia="仿宋_GB2312"/>
          <w:color w:val="auto"/>
          <w:spacing w:val="0"/>
          <w:sz w:val="32"/>
          <w:szCs w:val="32"/>
          <w:highlight w:val="none"/>
          <w:lang w:val="zh-CN" w:eastAsia="zh-CN"/>
        </w:rPr>
        <w:t>3,159.61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17,144.16</w:t>
      </w:r>
      <w:r>
        <w:rPr>
          <w:rFonts w:hint="eastAsia" w:ascii="仿宋_GB2312" w:eastAsia="仿宋_GB2312"/>
          <w:color w:val="auto"/>
          <w:spacing w:val="0"/>
          <w:sz w:val="32"/>
          <w:szCs w:val="32"/>
          <w:highlight w:val="none"/>
          <w:lang w:eastAsia="zh-CN"/>
        </w:rPr>
        <w:t>万元，预决算差异率442.60%，主要原因是：</w:t>
      </w:r>
      <w:r>
        <w:rPr>
          <w:rFonts w:hint="eastAsia" w:ascii="仿宋_GB2312" w:eastAsia="仿宋_GB2312"/>
          <w:color w:val="auto"/>
          <w:spacing w:val="0"/>
          <w:sz w:val="32"/>
          <w:szCs w:val="32"/>
          <w:highlight w:val="none"/>
          <w:lang w:val="en-US" w:eastAsia="zh-CN"/>
        </w:rPr>
        <w:t>2023年</w:t>
      </w:r>
      <w:r>
        <w:rPr>
          <w:rFonts w:hint="eastAsia" w:ascii="仿宋_GB2312" w:eastAsia="仿宋_GB2312"/>
          <w:color w:val="auto"/>
          <w:spacing w:val="0"/>
          <w:sz w:val="32"/>
          <w:szCs w:val="32"/>
          <w:highlight w:val="none"/>
          <w:lang w:eastAsia="zh-CN"/>
        </w:rPr>
        <w:t>追加“科研创新平台人才团队支持计划”及“天山英才”计划项目经费，故预决算差异率较大。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13833"/>
      <w:bookmarkStart w:id="19"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2023年度一般公共预算财政拨款支出15,851.40万元，占本年支出合计的</w:t>
      </w:r>
      <w:r>
        <w:rPr>
          <w:rFonts w:hint="eastAsia" w:ascii="仿宋_GB2312" w:eastAsia="仿宋_GB2312"/>
          <w:color w:val="auto"/>
          <w:spacing w:val="0"/>
          <w:sz w:val="32"/>
          <w:szCs w:val="32"/>
          <w:highlight w:val="none"/>
          <w:lang w:val="zh-CN" w:eastAsia="zh-CN"/>
        </w:rPr>
        <w:t>76.44%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增加1,515.37万元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增长10.57%,</w:t>
      </w:r>
      <w:r>
        <w:rPr>
          <w:rFonts w:hint="eastAsia" w:ascii="仿宋_GB2312" w:eastAsia="仿宋_GB2312"/>
          <w:color w:val="auto"/>
          <w:spacing w:val="0"/>
          <w:sz w:val="32"/>
          <w:szCs w:val="32"/>
          <w:highlight w:val="none"/>
          <w:lang w:eastAsia="zh-CN"/>
        </w:rPr>
        <w:t>主要原因是：本年追加“科研创新平台人才团队支持计划”及“天山英才”计划项目经费。与年初预算相比，年初预算数</w:t>
      </w:r>
      <w:r>
        <w:rPr>
          <w:rFonts w:hint="eastAsia" w:ascii="仿宋_GB2312" w:eastAsia="仿宋_GB2312"/>
          <w:color w:val="auto"/>
          <w:spacing w:val="0"/>
          <w:sz w:val="32"/>
          <w:szCs w:val="32"/>
          <w:highlight w:val="none"/>
          <w:lang w:val="zh-CN" w:eastAsia="zh-CN"/>
        </w:rPr>
        <w:t>3,159.61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15,851.40</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401.69%</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w:t>
      </w:r>
      <w:r>
        <w:rPr>
          <w:rFonts w:hint="eastAsia" w:ascii="仿宋_GB2312" w:eastAsia="仿宋_GB2312"/>
          <w:color w:val="auto"/>
          <w:spacing w:val="0"/>
          <w:sz w:val="32"/>
          <w:szCs w:val="32"/>
          <w:highlight w:val="none"/>
          <w:lang w:eastAsia="zh-CN"/>
        </w:rPr>
        <w:t>追加“科研创新平台人才团队支持计划”及“天山英才”计划项目经费，故预决算差异率较大。</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15,851.40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1.科学技术支出（类）基础研究（款）自然科学基金（项）:支出决算数为17.89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2.11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10.56%，主要原因是：</w:t>
      </w:r>
      <w:r>
        <w:rPr>
          <w:rFonts w:hint="eastAsia" w:ascii="Times New Roman" w:hAnsi="Times New Roman" w:eastAsia="仿宋_GB2312" w:cs="Times New Roman"/>
          <w:color w:val="auto"/>
          <w:kern w:val="2"/>
          <w:sz w:val="32"/>
          <w:szCs w:val="32"/>
          <w:highlight w:val="none"/>
          <w:lang w:val="zh-CN" w:eastAsia="zh-CN" w:bidi="ar-SA"/>
        </w:rPr>
        <w:t>我厅领导多次带队赴国家自然科学基金委汇报、对接工作，但均与厅里其他工作一同赴科技部及先进省份，如国家级创新平台建设、人才引进、国家级“两重”项目对接等工作，故均从计划管理费中一起报销，未</w:t>
      </w:r>
      <w:r>
        <w:rPr>
          <w:rFonts w:hint="eastAsia" w:eastAsia="仿宋_GB2312" w:cs="Times New Roman"/>
          <w:color w:val="auto"/>
          <w:kern w:val="2"/>
          <w:sz w:val="32"/>
          <w:szCs w:val="32"/>
          <w:highlight w:val="none"/>
          <w:lang w:val="en-US" w:eastAsia="zh-CN" w:bidi="ar-SA"/>
        </w:rPr>
        <w:t>在自然基金中</w:t>
      </w:r>
      <w:r>
        <w:rPr>
          <w:rFonts w:hint="eastAsia" w:ascii="Times New Roman" w:hAnsi="Times New Roman" w:eastAsia="仿宋_GB2312" w:cs="Times New Roman"/>
          <w:color w:val="auto"/>
          <w:kern w:val="2"/>
          <w:sz w:val="32"/>
          <w:szCs w:val="32"/>
          <w:highlight w:val="none"/>
          <w:lang w:val="zh-CN" w:eastAsia="zh-CN" w:bidi="ar-SA"/>
        </w:rPr>
        <w:t>报销</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2.科学技术支出（类）技术研究与开发（款）其他技术研究与开发支出（项）:支出决算数为10.00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9,990.00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99.90%，主要原因是：</w:t>
      </w:r>
      <w:r>
        <w:rPr>
          <w:rFonts w:hint="eastAsia" w:eastAsia="仿宋_GB2312" w:cs="Times New Roman"/>
          <w:color w:val="auto"/>
          <w:kern w:val="2"/>
          <w:sz w:val="32"/>
          <w:szCs w:val="32"/>
          <w:highlight w:val="none"/>
          <w:lang w:val="en-US" w:eastAsia="zh-CN" w:bidi="ar-SA"/>
        </w:rPr>
        <w:t>上年拨付高新技术企业发展专项结余资金</w:t>
      </w:r>
      <w:r>
        <w:rPr>
          <w:rFonts w:hint="default" w:eastAsia="仿宋_GB2312" w:cs="Times New Roman"/>
          <w:color w:val="auto"/>
          <w:kern w:val="2"/>
          <w:sz w:val="32"/>
          <w:szCs w:val="32"/>
          <w:highlight w:val="none"/>
          <w:lang w:val="en-US" w:eastAsia="zh-CN" w:bidi="ar-SA"/>
        </w:rPr>
        <w:t>1</w:t>
      </w:r>
      <w:r>
        <w:rPr>
          <w:rFonts w:hint="eastAsia" w:eastAsia="仿宋_GB2312" w:cs="Times New Roman"/>
          <w:color w:val="auto"/>
          <w:kern w:val="2"/>
          <w:sz w:val="32"/>
          <w:szCs w:val="32"/>
          <w:highlight w:val="none"/>
          <w:lang w:val="en-US" w:eastAsia="zh-CN" w:bidi="ar-SA"/>
        </w:rPr>
        <w:t>亿元，本年结余资金</w:t>
      </w:r>
      <w:r>
        <w:rPr>
          <w:rFonts w:hint="default" w:eastAsia="仿宋_GB2312" w:cs="Times New Roman"/>
          <w:color w:val="auto"/>
          <w:kern w:val="2"/>
          <w:sz w:val="32"/>
          <w:szCs w:val="32"/>
          <w:highlight w:val="none"/>
          <w:lang w:val="en-US" w:eastAsia="zh-CN" w:bidi="ar-SA"/>
        </w:rPr>
        <w:t>10</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3.科学技术支出（类）科技重大项目（款）重点研发计划（项）:支出决算数为0.00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100%，主要原因是：重点研发计划</w:t>
      </w:r>
      <w:r>
        <w:rPr>
          <w:rFonts w:hint="eastAsia" w:eastAsia="仿宋_GB2312" w:cs="Times New Roman"/>
          <w:color w:val="auto"/>
          <w:kern w:val="2"/>
          <w:sz w:val="32"/>
          <w:szCs w:val="32"/>
          <w:highlight w:val="none"/>
          <w:lang w:val="en-US" w:eastAsia="zh-CN" w:bidi="ar-SA"/>
        </w:rPr>
        <w:t>上年无结余</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4.科学技术支出（类）科技重大项目（款）科技重大专项（项）:支出决算数为690.35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206.62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42.71%，主要原因是：科技重大专项</w:t>
      </w:r>
      <w:r>
        <w:rPr>
          <w:rFonts w:hint="eastAsia" w:eastAsia="仿宋_GB2312" w:cs="Times New Roman"/>
          <w:color w:val="auto"/>
          <w:kern w:val="2"/>
          <w:sz w:val="32"/>
          <w:szCs w:val="32"/>
          <w:highlight w:val="none"/>
          <w:lang w:val="en-US" w:eastAsia="zh-CN" w:bidi="ar-SA"/>
        </w:rPr>
        <w:t>由于单位提供账户信息有误等原因导致本年支付结余资金</w:t>
      </w:r>
      <w:r>
        <w:rPr>
          <w:rFonts w:hint="default" w:eastAsia="仿宋_GB2312" w:cs="Times New Roman"/>
          <w:color w:val="auto"/>
          <w:kern w:val="2"/>
          <w:sz w:val="32"/>
          <w:szCs w:val="32"/>
          <w:highlight w:val="none"/>
          <w:lang w:val="en-US" w:eastAsia="zh-CN" w:bidi="ar-SA"/>
        </w:rPr>
        <w:t>690.35</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5.科学技术支出（类）科技交流与合作（款）国际交流与合作（项）:支出决算数为2.91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国</w:t>
      </w:r>
      <w:r>
        <w:rPr>
          <w:rFonts w:hint="eastAsia" w:ascii="Times New Roman" w:hAnsi="Times New Roman" w:eastAsia="仿宋_GB2312" w:cs="Times New Roman"/>
          <w:color w:val="auto"/>
          <w:kern w:val="2"/>
          <w:sz w:val="32"/>
          <w:szCs w:val="32"/>
          <w:highlight w:val="none"/>
          <w:lang w:val="en-US" w:eastAsia="zh-CN" w:bidi="ar-SA"/>
        </w:rPr>
        <w:t>际合作处年中追加，组团赴蒙古国出席“我们共同的家园-阿尔泰”国际协调委员会第17次会议的因公出国（境）费用。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6.科学技术支出（类）技术研究与开发（款）科技成果转化与扩散（项）:支出决算数为37.50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27.50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275.00%，主要原因是：科技成果转化与扩散</w:t>
      </w:r>
      <w:r>
        <w:rPr>
          <w:rFonts w:hint="eastAsia" w:eastAsia="仿宋_GB2312" w:cs="Times New Roman"/>
          <w:color w:val="auto"/>
          <w:kern w:val="2"/>
          <w:sz w:val="32"/>
          <w:szCs w:val="32"/>
          <w:highlight w:val="none"/>
          <w:lang w:val="en-US" w:eastAsia="zh-CN" w:bidi="ar-SA"/>
        </w:rPr>
        <w:t>项目由于单位提供账户信息有误等原因导致本年支付结余资金</w:t>
      </w:r>
      <w:r>
        <w:rPr>
          <w:rFonts w:hint="default" w:eastAsia="仿宋_GB2312" w:cs="Times New Roman"/>
          <w:color w:val="auto"/>
          <w:kern w:val="2"/>
          <w:sz w:val="32"/>
          <w:szCs w:val="32"/>
          <w:highlight w:val="none"/>
          <w:lang w:val="en-US" w:eastAsia="zh-CN" w:bidi="ar-SA"/>
        </w:rPr>
        <w:t>37.5</w:t>
      </w:r>
      <w:r>
        <w:rPr>
          <w:rFonts w:hint="eastAsia" w:eastAsia="仿宋_GB2312" w:cs="Times New Roman"/>
          <w:color w:val="auto"/>
          <w:kern w:val="2"/>
          <w:sz w:val="32"/>
          <w:szCs w:val="32"/>
          <w:highlight w:val="none"/>
          <w:lang w:val="en-US" w:eastAsia="zh-CN" w:bidi="ar-SA"/>
        </w:rPr>
        <w:t>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7.科学技术支出（类）科学技术管理事务（款）行政运行（项）:支出决算数为2,714.42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147.83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5.16%，主要原因是：</w:t>
      </w:r>
      <w:r>
        <w:rPr>
          <w:rFonts w:hint="eastAsia" w:eastAsia="仿宋_GB2312" w:cs="Times New Roman"/>
          <w:color w:val="auto"/>
          <w:kern w:val="2"/>
          <w:sz w:val="32"/>
          <w:szCs w:val="32"/>
          <w:highlight w:val="none"/>
          <w:lang w:val="en-US" w:eastAsia="zh-CN" w:bidi="ar-SA"/>
        </w:rPr>
        <w:t>本年度在职人数较上年减少，故工资福利支出、商品服务支出较上年有所减少；办公设备购置经费较上年有所减少。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8.科学技术支出（类）其他科学技术支出（款）科技奖励（项）:支出决算数为700.00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en-US" w:eastAsia="zh-CN" w:bidi="ar-SA"/>
        </w:rPr>
        <w:t>该项支出上下年度无变化</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9.科学技术支出（类）其他科学技术支出（款）其他科学技术支出（项）:支出决算数为144.00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en-US" w:eastAsia="zh-CN" w:bidi="ar-SA"/>
        </w:rPr>
        <w:t>该项支出上下年度无变化</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10.科学技术支出（类）基础研究（款）科技人才队伍建设（项）:支出决算数为11,534.33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11,534.33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w:t>
      </w:r>
      <w:r>
        <w:rPr>
          <w:rFonts w:hint="default"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年追加拨付科技人才发展专项资金。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11.科学技术支出（类）科学技术管理事务（款）其他科学技术管理事务支出（项）:支出决算数为0.00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57.05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100%，主要原因是：2023年</w:t>
      </w:r>
      <w:r>
        <w:rPr>
          <w:rFonts w:hint="eastAsia" w:eastAsia="仿宋_GB2312" w:cs="Times New Roman"/>
          <w:color w:val="auto"/>
          <w:kern w:val="2"/>
          <w:sz w:val="32"/>
          <w:szCs w:val="32"/>
          <w:highlight w:val="none"/>
          <w:lang w:val="en-US" w:eastAsia="zh-CN" w:bidi="ar-SA"/>
        </w:rPr>
        <w:t>未发生</w:t>
      </w:r>
      <w:r>
        <w:rPr>
          <w:rFonts w:hint="eastAsia" w:ascii="Times New Roman" w:hAnsi="Times New Roman" w:eastAsia="仿宋_GB2312" w:cs="Times New Roman"/>
          <w:color w:val="auto"/>
          <w:kern w:val="2"/>
          <w:sz w:val="32"/>
          <w:szCs w:val="32"/>
          <w:highlight w:val="none"/>
          <w:lang w:val="en-US" w:eastAsia="zh-CN" w:bidi="ar-SA"/>
        </w:rPr>
        <w:t>其他科学技术管理事务支出。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12.科学技术支出（类）科学技术普及（款）科普活动（项）:支出决算数为0.00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13.00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100%，主要原因是：2023年</w:t>
      </w:r>
      <w:r>
        <w:rPr>
          <w:rFonts w:hint="eastAsia" w:eastAsia="仿宋_GB2312" w:cs="Times New Roman"/>
          <w:color w:val="auto"/>
          <w:kern w:val="2"/>
          <w:sz w:val="32"/>
          <w:szCs w:val="32"/>
          <w:highlight w:val="none"/>
          <w:lang w:val="en-US" w:eastAsia="zh-CN" w:bidi="ar-SA"/>
        </w:rPr>
        <w:t>未发生</w:t>
      </w:r>
      <w:r>
        <w:rPr>
          <w:rFonts w:hint="eastAsia" w:ascii="Times New Roman" w:hAnsi="Times New Roman" w:eastAsia="仿宋_GB2312" w:cs="Times New Roman"/>
          <w:color w:val="auto"/>
          <w:kern w:val="2"/>
          <w:sz w:val="32"/>
          <w:szCs w:val="32"/>
          <w:highlight w:val="none"/>
          <w:lang w:val="en-US" w:eastAsia="zh-CN" w:bidi="ar-SA"/>
        </w:rPr>
        <w:t>科普活动</w:t>
      </w:r>
      <w:r>
        <w:rPr>
          <w:rFonts w:hint="eastAsia" w:eastAsia="仿宋_GB2312" w:cs="Times New Roman"/>
          <w:color w:val="auto"/>
          <w:kern w:val="2"/>
          <w:sz w:val="32"/>
          <w:szCs w:val="32"/>
          <w:highlight w:val="none"/>
          <w:lang w:val="en-US" w:eastAsia="zh-CN" w:bidi="ar-SA"/>
        </w:rPr>
        <w:t>支出</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2,714.42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2,190.66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523.76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办公费、印刷费、水费、电费、邮电费、取暖费、物业管理费、差旅费、培训费、劳务费、委托业务费、工会经费、福利费、公务用车运行维护费、其他交通费用、其他商品和服务支出。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“三公”经费支出38.81万元，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增加4.21万元，</w:t>
      </w:r>
      <w:r>
        <w:rPr>
          <w:rFonts w:hint="eastAsia" w:ascii="仿宋_GB2312" w:eastAsia="仿宋_GB2312"/>
          <w:color w:val="auto"/>
          <w:spacing w:val="0"/>
          <w:sz w:val="32"/>
          <w:szCs w:val="32"/>
          <w:highlight w:val="none"/>
          <w:lang w:val="en-US" w:eastAsia="zh-CN"/>
        </w:rPr>
        <w:t>增长12.17%,</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202</w:t>
      </w:r>
      <w:r>
        <w:rPr>
          <w:rFonts w:hint="default"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en-US" w:eastAsia="zh-CN"/>
        </w:rPr>
        <w:t>年度追加组团赴蒙古国出席“我们共同的家园-阿尔泰”国际协调委会第17次会议的因公出国</w:t>
      </w:r>
      <w:r>
        <w:rPr>
          <w:rFonts w:hint="eastAsia" w:ascii="仿宋_GB2312" w:eastAsia="仿宋_GB2312"/>
          <w:color w:val="auto"/>
          <w:sz w:val="32"/>
          <w:szCs w:val="32"/>
          <w:highlight w:val="none"/>
          <w:lang w:val="zh-CN" w:eastAsia="zh-CN"/>
        </w:rPr>
        <w:t>（境）</w:t>
      </w:r>
      <w:r>
        <w:rPr>
          <w:rFonts w:hint="eastAsia" w:ascii="仿宋_GB2312" w:eastAsia="仿宋_GB2312"/>
          <w:color w:val="auto"/>
          <w:sz w:val="32"/>
          <w:szCs w:val="32"/>
          <w:highlight w:val="none"/>
          <w:lang w:val="en-US" w:eastAsia="zh-CN"/>
        </w:rPr>
        <w:t>费用</w:t>
      </w:r>
      <w:r>
        <w:rPr>
          <w:rFonts w:hint="eastAsia" w:ascii="仿宋_GB2312" w:eastAsia="仿宋_GB2312"/>
          <w:color w:val="auto"/>
          <w:sz w:val="32"/>
          <w:szCs w:val="32"/>
          <w:highlight w:val="none"/>
          <w:lang w:val="zh-CN" w:eastAsia="zh-CN"/>
        </w:rPr>
        <w:t>。其中：因公出国（境）费支出4.22万元，占10.87%，比上年增加4.22万元，</w:t>
      </w:r>
      <w:r>
        <w:rPr>
          <w:rFonts w:hint="eastAsia" w:ascii="仿宋_GB2312" w:eastAsia="仿宋_GB2312"/>
          <w:color w:val="auto"/>
          <w:spacing w:val="0"/>
          <w:sz w:val="32"/>
          <w:szCs w:val="32"/>
          <w:highlight w:val="none"/>
          <w:lang w:val="en-US" w:eastAsia="zh-CN"/>
        </w:rPr>
        <w:t>增长100.00%,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国际合作处年中追加，组团赴蒙古国出席“我们共同的家园-阿尔泰”国际协调委员会第17次会议的因公出国</w:t>
      </w:r>
      <w:r>
        <w:rPr>
          <w:rFonts w:hint="eastAsia" w:ascii="仿宋_GB2312" w:eastAsia="仿宋_GB2312"/>
          <w:color w:val="auto"/>
          <w:sz w:val="32"/>
          <w:szCs w:val="32"/>
          <w:highlight w:val="none"/>
          <w:lang w:val="zh-CN" w:eastAsia="zh-CN"/>
        </w:rPr>
        <w:t>（境）</w:t>
      </w:r>
      <w:r>
        <w:rPr>
          <w:rFonts w:hint="eastAsia" w:ascii="仿宋_GB2312" w:eastAsia="仿宋_GB2312"/>
          <w:color w:val="auto"/>
          <w:sz w:val="32"/>
          <w:szCs w:val="32"/>
          <w:highlight w:val="none"/>
          <w:lang w:val="en-US" w:eastAsia="zh-CN"/>
        </w:rPr>
        <w:t>费用</w:t>
      </w:r>
      <w:r>
        <w:rPr>
          <w:rFonts w:hint="eastAsia" w:ascii="仿宋_GB2312" w:eastAsia="仿宋_GB2312"/>
          <w:color w:val="auto"/>
          <w:sz w:val="32"/>
          <w:szCs w:val="32"/>
          <w:highlight w:val="none"/>
          <w:lang w:val="zh-CN" w:eastAsia="zh-CN"/>
        </w:rPr>
        <w:t>；公务用车购置及运行维护费支出34.59万元，占89.13%，比上年减少0.01万元，</w:t>
      </w:r>
      <w:r>
        <w:rPr>
          <w:rFonts w:hint="eastAsia" w:ascii="仿宋_GB2312" w:eastAsia="仿宋_GB2312"/>
          <w:color w:val="auto"/>
          <w:spacing w:val="0"/>
          <w:sz w:val="32"/>
          <w:szCs w:val="32"/>
          <w:highlight w:val="none"/>
          <w:lang w:val="en-US" w:eastAsia="zh-CN"/>
        </w:rPr>
        <w:t>下降0.03%,</w:t>
      </w:r>
      <w:r>
        <w:rPr>
          <w:rFonts w:hint="eastAsia" w:ascii="仿宋_GB2312" w:eastAsia="仿宋_GB2312"/>
          <w:color w:val="auto"/>
          <w:sz w:val="32"/>
          <w:szCs w:val="32"/>
          <w:highlight w:val="none"/>
          <w:lang w:val="zh-CN" w:eastAsia="zh-CN"/>
        </w:rPr>
        <w:t>主要原因是：我单位加强公车运行管理，严格按当年预算进行相关业务的支出；公务接待费支出0.00万元，占0.00%，比上年增加0.00万元，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年无公务接待支出。</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因公出国（境）费支出4.22万元，开支内容包括：人员公杂费、车辆报关费、境外燃油费、境外住宿费及伙食费。单位全年安排的因公出国（境）团组1个，因公出国（境）2人次。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34.59万元，其中：公务用车购置费0.00万元，公务用车运行维护费34.59万元。公务用车运行维护费开支内容包括车辆维修费、车辆保险费、车辆燃料费、车辆过路费。公务用车购置数0辆，公务用车保有量13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原因是：我单位车辆数与公务用车保有量无差异。</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年无公务接待支出。单位全年安排的国内公务接待0批次，0人次。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预算数39.25万元，决算数38.81万元，预决算差异率-1.12%，主要原因是：</w:t>
      </w:r>
      <w:r>
        <w:rPr>
          <w:rFonts w:hint="eastAsia" w:ascii="仿宋_GB2312" w:eastAsia="仿宋_GB2312"/>
          <w:sz w:val="32"/>
          <w:szCs w:val="32"/>
        </w:rPr>
        <w:t>我单位严格按当年预算进行相关业务支出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4.22万元，决算数4.22万元，预决算差异率0.00%，主要原因是：我单位严格按预算进行相关业务的支出；公务用车购置费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年无公务用车购置；公务用车运行费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预算数34.60万元，决算数34.59万元，预决算差异率-0.03%，主要原因是：我单位加强公车运行管理，严格按当年预算进行相关业务的支出；公务接待费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预算数0.43万元，决算数0.00万元，预决算差异率-100.00%，主要原因是：我单位202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年无公务接待支出。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20"/>
      <w:bookmarkEnd w:id="21"/>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bookmarkStart w:id="26" w:name="_Toc227"/>
      <w:bookmarkStart w:id="27"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新疆维吾尔自治区科学技术厅（行政单位和参照公务员法管理事业单位）机关运行经费支出523.76万元，</w:t>
      </w:r>
      <w:r>
        <w:rPr>
          <w:rFonts w:hint="eastAsia" w:ascii="Times New Roman" w:hAnsi="Times New Roman" w:eastAsia="仿宋_GB2312" w:cs="Times New Roman"/>
          <w:color w:val="auto"/>
          <w:sz w:val="32"/>
          <w:szCs w:val="32"/>
          <w:highlight w:val="none"/>
          <w:lang w:val="zh-CN" w:eastAsia="zh-CN"/>
        </w:rPr>
        <w:t>比上年减少55.97万元，下降9.65%，主要原因是：</w:t>
      </w:r>
      <w:r>
        <w:rPr>
          <w:rFonts w:hint="eastAsia" w:eastAsia="仿宋_GB2312" w:cs="Times New Roman"/>
          <w:color w:val="auto"/>
          <w:kern w:val="2"/>
          <w:sz w:val="32"/>
          <w:szCs w:val="32"/>
          <w:highlight w:val="none"/>
          <w:lang w:val="en-US" w:eastAsia="zh-CN" w:bidi="ar-SA"/>
        </w:rPr>
        <w:t>本年度在职人数较上年减少，故工资福利支出、商品服务支出较上年有所减少；办公设备购置经费较上年有所减少。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200.06万元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其中：政府采购货物支出35.20万元、政府采购工程支出0.00万元、政府采购服务支出164.86万元。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授予中小企业合同金额200.06万元，占政府采购支出总额的100.00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，其中：授予小微企业合同金额52.19万元，占政府采购支出总额的26.09</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8" w:name="_Toc8391"/>
      <w:bookmarkStart w:id="29" w:name="_Toc4591"/>
      <w:r>
        <w:rPr>
          <w:rFonts w:hint="eastAsia" w:ascii="Times New Roman" w:hAnsi="Times New Roman" w:eastAsia="黑体" w:cs="Times New Roman"/>
          <w:color w:val="auto"/>
          <w:sz w:val="32"/>
          <w:szCs w:val="30"/>
          <w:highlight w:val="none"/>
          <w:lang w:val="zh-CN" w:eastAsia="zh-CN"/>
        </w:rPr>
        <w:t>（三）国有资产占用情况说明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2,529.52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屋18115.15平方米，价值1,245.97万元。车辆13辆，价值349.84万元，其中：副部（省）级及以上领导用车0辆、主要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用车0辆、机要通信用车1辆、应急保障用车0辆、执法执勤用车0辆、特种专业技术用车0辆、离退休干部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用车0辆、其他用车12辆，其他用车主要是：一般公务用车；单价100万元（含）以上设备（不含车辆）0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eastAsia="zh-CN"/>
        </w:rPr>
        <w:t>根据预算绩效管理要求，我</w:t>
      </w:r>
      <w:r>
        <w:rPr>
          <w:rFonts w:hint="eastAsia" w:ascii="Times New Roman" w:hAnsi="Times New Roman" w:eastAsia="仿宋_GB2312" w:cs="Times New Roman"/>
          <w:color w:val="auto"/>
          <w:sz w:val="32"/>
          <w:szCs w:val="32"/>
          <w:highlight w:val="none"/>
          <w:lang w:val="en-US" w:eastAsia="zh-CN"/>
        </w:rPr>
        <w:t>单位</w:t>
      </w:r>
      <w:r>
        <w:rPr>
          <w:rFonts w:hint="eastAsia" w:ascii="Times New Roman" w:hAnsi="Times New Roman" w:eastAsia="仿宋_GB2312" w:cs="Times New Roman"/>
          <w:color w:val="auto"/>
          <w:sz w:val="32"/>
          <w:szCs w:val="32"/>
          <w:highlight w:val="none"/>
          <w:lang w:val="zh-CN" w:eastAsia="zh-CN"/>
        </w:rPr>
        <w:t>2023年度预算绩效管理整体</w:t>
      </w:r>
      <w:r>
        <w:rPr>
          <w:rFonts w:hint="eastAsia" w:ascii="Times New Roman" w:hAnsi="Times New Roman" w:eastAsia="仿宋_GB2312" w:cs="Times New Roman"/>
          <w:color w:val="auto"/>
          <w:sz w:val="32"/>
          <w:szCs w:val="32"/>
          <w:highlight w:val="none"/>
          <w:lang w:val="en-US" w:eastAsia="zh-CN"/>
        </w:rPr>
        <w:t>支出</w:t>
      </w:r>
      <w:r>
        <w:rPr>
          <w:rFonts w:hint="eastAsia" w:ascii="Times New Roman" w:hAnsi="Times New Roman" w:eastAsia="仿宋_GB2312" w:cs="Times New Roman"/>
          <w:color w:val="auto"/>
          <w:sz w:val="32"/>
          <w:szCs w:val="32"/>
          <w:highlight w:val="none"/>
          <w:lang w:val="zh-CN" w:eastAsia="zh-CN"/>
        </w:rPr>
        <w:t>绩效自评表</w:t>
      </w:r>
      <w:r>
        <w:rPr>
          <w:rFonts w:hint="default"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en-US" w:eastAsia="zh-CN"/>
        </w:rPr>
        <w:t>个，全年预算总额</w:t>
      </w:r>
      <w:r>
        <w:rPr>
          <w:rFonts w:hint="default"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en-US" w:eastAsia="zh-CN"/>
        </w:rPr>
        <w:t>实际执行总额</w:t>
      </w:r>
      <w:r>
        <w:rPr>
          <w:rFonts w:hint="default"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lang w:val="zh-CN" w:eastAsia="zh-CN"/>
        </w:rPr>
        <w:t>万元，我单位整体支出绩效自评是由自治区科技厅（部门）完成</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预算绩效评价项目</w:t>
      </w:r>
      <w:r>
        <w:rPr>
          <w:rFonts w:hint="default" w:eastAsia="仿宋_GB2312" w:cs="Times New Roman"/>
          <w:color w:val="auto"/>
          <w:sz w:val="32"/>
          <w:szCs w:val="32"/>
          <w:highlight w:val="none"/>
          <w:lang w:val="en-US" w:eastAsia="zh-CN"/>
        </w:rPr>
        <w:t>8</w:t>
      </w:r>
      <w:r>
        <w:rPr>
          <w:rFonts w:hint="eastAsia" w:ascii="Times New Roman" w:hAnsi="Times New Roman" w:eastAsia="仿宋_GB2312" w:cs="Times New Roman"/>
          <w:color w:val="auto"/>
          <w:sz w:val="32"/>
          <w:szCs w:val="32"/>
          <w:highlight w:val="none"/>
          <w:lang w:val="zh-CN" w:eastAsia="zh-CN"/>
        </w:rPr>
        <w:t>个，</w:t>
      </w:r>
      <w:r>
        <w:rPr>
          <w:rFonts w:hint="eastAsia" w:ascii="Times New Roman" w:hAnsi="Times New Roman" w:eastAsia="仿宋_GB2312" w:cs="Times New Roman"/>
          <w:color w:val="auto"/>
          <w:sz w:val="32"/>
          <w:szCs w:val="32"/>
          <w:highlight w:val="none"/>
          <w:lang w:val="en-US" w:eastAsia="zh-CN"/>
        </w:rPr>
        <w:t>全年预算数</w:t>
      </w:r>
      <w:r>
        <w:rPr>
          <w:rFonts w:hint="default"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zh-CN" w:eastAsia="zh-CN"/>
        </w:rPr>
        <w:t>,</w:t>
      </w:r>
      <w:r>
        <w:rPr>
          <w:rFonts w:hint="default" w:eastAsia="仿宋_GB2312" w:cs="Times New Roman"/>
          <w:color w:val="auto"/>
          <w:sz w:val="32"/>
          <w:szCs w:val="32"/>
          <w:highlight w:val="none"/>
          <w:lang w:val="en-US" w:eastAsia="zh-CN"/>
        </w:rPr>
        <w:t>257.05</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en-US" w:eastAsia="zh-CN"/>
        </w:rPr>
        <w:t>全年执行数</w:t>
      </w:r>
      <w:r>
        <w:rPr>
          <w:rFonts w:hint="default"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zh-CN" w:eastAsia="zh-CN"/>
        </w:rPr>
        <w:t>,</w:t>
      </w:r>
      <w:bookmarkStart w:id="50" w:name="_GoBack"/>
      <w:bookmarkEnd w:id="50"/>
      <w:r>
        <w:rPr>
          <w:rFonts w:hint="default" w:eastAsia="仿宋_GB2312" w:cs="Times New Roman"/>
          <w:color w:val="auto"/>
          <w:sz w:val="32"/>
          <w:szCs w:val="32"/>
          <w:highlight w:val="none"/>
          <w:lang w:val="en-US" w:eastAsia="zh-CN"/>
        </w:rPr>
        <w:t>135.95</w:t>
      </w:r>
      <w:r>
        <w:rPr>
          <w:rFonts w:hint="eastAsia" w:ascii="Times New Roman" w:hAnsi="Times New Roman" w:eastAsia="仿宋_GB2312" w:cs="Times New Roman"/>
          <w:color w:val="auto"/>
          <w:sz w:val="32"/>
          <w:szCs w:val="32"/>
          <w:highlight w:val="none"/>
          <w:lang w:val="zh-CN" w:eastAsia="zh-CN"/>
        </w:rPr>
        <w:t>万元。预算绩效管理取得的成效：一是建立健全体制机制，严格落实制度。认真贯彻落实《自治区党委自治区人民政府关于全面实施预算绩效管理的实施意见》（新党发〔2018〕30号）和自治区财政预算管理相关要求，针对当前预算绩效管理中的薄弱环节，认真调查研究，充分征求意见，提出总体要求，明确目标任务，年初将全厅所有财政资金纳入绩效管理。及时对预算单位财政预算资金进行安排布置，保证了科技专项经费在科学研究、技术开发、科技成果转化中的应有作用，进一步提升了预算绩效管理工作规范化、制度化、科学化水平，确保自治区党委、自治区人民政府各项决策部署落实到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eastAsia="zh-CN"/>
        </w:rPr>
        <w:t>二是强化事前评估管理，拓展对象范围。建立健全重大政策、项目事前绩效评估机制，持续推进预算绩效管理的制度化、规范化。按照事前绩效目标要求，编制各项目绩效目标表、事前绩效评估报告、财政支出绩效目标申报表及项目依据，经自治区财政审核通过后安排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eastAsia="zh-CN"/>
        </w:rPr>
        <w:t>三是强化主体责任，形成预算绩效管理体系。强化预算编制管理。按照自治区财政厅相关要求，及时分解细化各项工作任务，结合实际全面设置单位整体绩效目标及项目绩效目标。坚持绩效、源头控制的基本原则，保障重点，细化预算，严格按照“一项目、一评价、一报告”要求，科学编制科技厅年初预算项目绩效目标表，进一步规范了政府收支行为，强化了预算约束和加强对预算的管理和监督。加强预算绩效动态监控管理。及时跟踪项目进度，对项目实施中存在的具体问题及时采取纠偏措施；按照时间节点，对各项目进行绩效监控；严格规范指标执行情况，加快资金执行进度，保证资金专款专用，确保项目的社会效益落到实处。及时检查汇报绩效执行率完成情况，认真分析解决在绩效填报、绩效季度监控和年底绩效自评时发现的线索、存在的困难等问题。通过财政一体化系统绩效评价模块，对一般公共预算项目资金实时监控执行率，对预算单位执行率偏差值超过20%时，认真分析偏差原因，向预算单位提出减少偏差建议，明确下一步资金执行计划。狠抓预算执行进度。我单位科学安排部署预算管理和经费使用工作，将资金使用进度作为重中之重，进一步提高了资金使用效率。落实预算绩效评价和公开。严格编写预算及绩效评价材料，对工作滞后、数据不准确、态度不认真的项目及时督促整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en-US"/>
        </w:rPr>
      </w:pPr>
      <w:r>
        <w:rPr>
          <w:rFonts w:hint="eastAsia" w:ascii="Times New Roman" w:hAnsi="Times New Roman" w:eastAsia="仿宋_GB2312" w:cs="Times New Roman"/>
          <w:color w:val="auto"/>
          <w:sz w:val="32"/>
          <w:szCs w:val="32"/>
          <w:highlight w:val="none"/>
          <w:lang w:val="zh-CN" w:eastAsia="zh-CN"/>
        </w:rPr>
        <w:t>发现的问题及原因：一是预算执行存在偏差。由于个别项目指标到第四季度下达，在预算执行中造成个别预算子项调剂现象；对个别项目资金使用方面预算不够细致，出现实际支出数超出了预算申报数或出现项目资金结余数额多的情况。二是预算绩效管理水平仍有欠缺。</w:t>
      </w:r>
      <w:r>
        <w:rPr>
          <w:rFonts w:hint="eastAsia" w:ascii="Times New Roman" w:hAnsi="Times New Roman" w:eastAsia="仿宋_GB2312" w:cs="Times New Roman"/>
          <w:color w:val="auto"/>
          <w:sz w:val="32"/>
          <w:szCs w:val="32"/>
          <w:highlight w:val="none"/>
          <w:lang w:val="en-US" w:eastAsia="en-US"/>
        </w:rPr>
        <w:t>在202</w:t>
      </w: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en-US" w:eastAsia="en-US"/>
        </w:rPr>
        <w:t>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三是部分绩效指标设定不够科学合理。项目绩效指标在设定时过于笼统，不易操作，在项目实际执行过程中该指标的代表性不强，考核指标与项目总体目标结合性不强，在项目自评是对于该指标的评价打分不够客观。四是绩效监控考核与实际落实的结合力度不够。对于绩效目标的实现来说，过程管理的管理和监控是相当重要的，缺失了过程的控制，只是在绩效周期结束的时候，才关注绩效进行打分，错过了执行过程中的改进机会，在问题出现时再补救就失去了绩效监控考核的意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en-US"/>
        </w:rPr>
      </w:pPr>
      <w:r>
        <w:rPr>
          <w:rFonts w:hint="eastAsia" w:ascii="Times New Roman" w:hAnsi="Times New Roman" w:eastAsia="仿宋_GB2312" w:cs="Times New Roman"/>
          <w:color w:val="auto"/>
          <w:sz w:val="32"/>
          <w:szCs w:val="32"/>
          <w:highlight w:val="none"/>
          <w:lang w:val="en-US" w:eastAsia="en-US"/>
        </w:rPr>
        <w:t>下一步改进措施：一是加强新行政单位会计制度和新预算法学习培训、规范账务处理，加强新《预算法》、《行政单位会计制度》、《会计法》、《行政单位财务规则》等学习培训,规范部门预算收支核算。首先制定和完善基本支出、项目支出等各项支出标准,严格按项目进度执行预算,增强预算的约束力和严肃性。其次落实预算执行分析,及时了解预算执行差异,合理调整、纠正预算执行偏差，切实提高部门预算收支管理水平。尽可能地做到决算与预算相衔接。再次从源头上强化对专项资金预算管理。实行专项资金预算管理，结合单位实际,按轻重缓急统筹安排编制预算,提高预算编制科学性和合理性,优化资金结构。最后按时间进度分解资金使用计划。专项资金的使用，要事前做计划，事中进行控制，事后总结提高。合理安排资金使用,充分体现资金投向的目标和效益。二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同时，完善管理制度,进-步加强资产管理。严格按照《固定资产管理办法》的规定，加强固定资产管理,及时登记、更新台账，加强资产卡片管理,对各类实物资产进行全面盘点,确保账账、账实相符。三是进一步明确如何参照考核体系，科学合理设定绩效目标，充分发挥预算绩效管理工作效用。督促作为绩效目标管理责任主体的预算单位充分认识绩效目标管理的重要性,增强绩效观念和责任意识。四是绩效监控考核与实际落实的结合。加强项目执行过程中的绩效监控，并对监控结果进行分析，了解项目执行过程中的弱势，预见可能会出现的问题，提早通过绩效监控情况规避问题，补全短板，将实际落实与绩效监控结合起来，确保项目完成年度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eastAsia="zh-CN"/>
        </w:rPr>
        <w:t>具体项目自评情况附绩效自评表</w:t>
      </w:r>
      <w:r>
        <w:rPr>
          <w:rFonts w:hint="eastAsia" w:ascii="Times New Roman" w:hAnsi="Times New Roman" w:eastAsia="仿宋_GB2312" w:cs="Times New Roman"/>
          <w:color w:val="auto"/>
          <w:sz w:val="32"/>
          <w:szCs w:val="32"/>
          <w:highlight w:val="none"/>
          <w:lang w:val="en-US" w:eastAsia="zh-CN"/>
        </w:rPr>
        <w:t>及自评报告</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2" w:name="_Toc24143"/>
      <w:bookmarkStart w:id="33"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6062"/>
      <w:bookmarkStart w:id="35" w:name="_Toc2183"/>
      <w:r>
        <w:rPr>
          <w:rFonts w:hint="eastAsia" w:ascii="黑体" w:hAnsi="黑体" w:eastAsia="仿宋_GB2312" w:cs="宋体"/>
          <w:bCs/>
          <w:color w:val="auto"/>
          <w:kern w:val="0"/>
          <w:sz w:val="32"/>
          <w:szCs w:val="32"/>
          <w:highlight w:val="none"/>
        </w:rPr>
        <w:t>一、《收入支出决算总表》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4532"/>
      <w:bookmarkStart w:id="37" w:name="_Toc30364"/>
      <w:r>
        <w:rPr>
          <w:rFonts w:hint="eastAsia" w:ascii="黑体" w:hAnsi="黑体" w:eastAsia="仿宋_GB2312" w:cs="宋体"/>
          <w:bCs/>
          <w:color w:val="auto"/>
          <w:kern w:val="0"/>
          <w:sz w:val="32"/>
          <w:szCs w:val="32"/>
          <w:highlight w:val="none"/>
        </w:rPr>
        <w:t>二、《收入决算表》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1304"/>
      <w:bookmarkStart w:id="39" w:name="_Toc32434"/>
      <w:r>
        <w:rPr>
          <w:rFonts w:hint="eastAsia" w:ascii="黑体" w:hAnsi="黑体" w:eastAsia="仿宋_GB2312" w:cs="宋体"/>
          <w:bCs/>
          <w:color w:val="auto"/>
          <w:kern w:val="0"/>
          <w:sz w:val="32"/>
          <w:szCs w:val="32"/>
          <w:highlight w:val="none"/>
        </w:rPr>
        <w:t>三、《支出决算表》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238"/>
      <w:bookmarkStart w:id="41" w:name="_Toc28786"/>
      <w:r>
        <w:rPr>
          <w:rFonts w:hint="eastAsia" w:ascii="黑体" w:hAnsi="黑体" w:eastAsia="仿宋_GB2312" w:cs="宋体"/>
          <w:bCs/>
          <w:color w:val="auto"/>
          <w:kern w:val="0"/>
          <w:sz w:val="32"/>
          <w:szCs w:val="32"/>
          <w:highlight w:val="none"/>
        </w:rPr>
        <w:t>四、《财政拨款收入支出决算总表》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10347"/>
      <w:bookmarkStart w:id="43" w:name="_Toc14869"/>
      <w:r>
        <w:rPr>
          <w:rFonts w:hint="eastAsia" w:ascii="黑体" w:hAnsi="黑体" w:eastAsia="仿宋_GB2312" w:cs="宋体"/>
          <w:bCs/>
          <w:color w:val="auto"/>
          <w:kern w:val="0"/>
          <w:sz w:val="32"/>
          <w:szCs w:val="32"/>
          <w:highlight w:val="none"/>
        </w:rPr>
        <w:t>五、《一般公共预算财政拨款支出决算表》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5626"/>
      <w:bookmarkStart w:id="45" w:name="_Toc8884"/>
      <w:r>
        <w:rPr>
          <w:rFonts w:hint="eastAsia" w:ascii="黑体" w:hAnsi="黑体" w:eastAsia="仿宋_GB2312" w:cs="宋体"/>
          <w:bCs/>
          <w:color w:val="auto"/>
          <w:kern w:val="0"/>
          <w:sz w:val="32"/>
          <w:szCs w:val="32"/>
          <w:highlight w:val="none"/>
        </w:rPr>
        <w:t>六、《一般公共预算财政拨款基本支出决算表》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6" w:name="_Toc29106"/>
      <w:bookmarkStart w:id="47" w:name="_Toc32663"/>
      <w:r>
        <w:rPr>
          <w:rFonts w:hint="eastAsia" w:ascii="黑体" w:hAnsi="黑体" w:eastAsia="仿宋_GB2312" w:cs="宋体"/>
          <w:bCs/>
          <w:color w:val="auto"/>
          <w:kern w:val="0"/>
          <w:sz w:val="32"/>
          <w:szCs w:val="32"/>
          <w:highlight w:val="none"/>
        </w:rPr>
        <w:t>《财政拨款“三公”经费支出决算表》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8" w:name="_Toc7643"/>
      <w:bookmarkStart w:id="49" w:name="_Toc5453"/>
      <w:r>
        <w:rPr>
          <w:rFonts w:hint="eastAsia" w:ascii="黑体" w:hAnsi="黑体" w:eastAsia="仿宋_GB2312" w:cs="宋体"/>
          <w:bCs/>
          <w:color w:val="auto"/>
          <w:kern w:val="0"/>
          <w:sz w:val="32"/>
          <w:szCs w:val="32"/>
          <w:highlight w:val="none"/>
        </w:rPr>
        <w:t>八、《政府性基金预算财政拨款收入支出决算表》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30C6D5-B144-4011-BBEF-C5A2A9431FF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embedRegular r:id="rId2" w:fontKey="{474894DD-EEA9-4849-99BF-6D5A63E4D501}"/>
  </w:font>
  <w:font w:name="仿宋_GB2312">
    <w:panose1 w:val="02010609030101010101"/>
    <w:charset w:val="86"/>
    <w:family w:val="modern"/>
    <w:pitch w:val="default"/>
    <w:sig w:usb0="00000001" w:usb1="080E0000" w:usb2="00000000" w:usb3="00000000" w:csb0="00040000" w:csb1="00000000"/>
    <w:embedRegular r:id="rId3" w:fontKey="{04D9D574-924B-43B7-8316-49F0F9E782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120" w:hanging="322"/>
        <w:jc w:val="left"/>
      </w:pPr>
      <w:rPr>
        <w:rFonts w:hint="default" w:ascii="仿宋" w:hAnsi="仿宋" w:eastAsia="仿宋" w:cs="仿宋"/>
        <w:spacing w:val="-1"/>
        <w:w w:val="98"/>
        <w:sz w:val="30"/>
        <w:szCs w:val="30"/>
      </w:rPr>
    </w:lvl>
    <w:lvl w:ilvl="1" w:tentative="0">
      <w:start w:val="0"/>
      <w:numFmt w:val="bullet"/>
      <w:lvlText w:val="•"/>
      <w:lvlJc w:val="left"/>
      <w:pPr>
        <w:ind w:left="1001" w:hanging="322"/>
      </w:pPr>
      <w:rPr>
        <w:rFonts w:hint="default"/>
      </w:rPr>
    </w:lvl>
    <w:lvl w:ilvl="2" w:tentative="0">
      <w:start w:val="0"/>
      <w:numFmt w:val="bullet"/>
      <w:lvlText w:val="•"/>
      <w:lvlJc w:val="left"/>
      <w:pPr>
        <w:ind w:left="1882" w:hanging="322"/>
      </w:pPr>
      <w:rPr>
        <w:rFonts w:hint="default"/>
      </w:rPr>
    </w:lvl>
    <w:lvl w:ilvl="3" w:tentative="0">
      <w:start w:val="0"/>
      <w:numFmt w:val="bullet"/>
      <w:lvlText w:val="•"/>
      <w:lvlJc w:val="left"/>
      <w:pPr>
        <w:ind w:left="2763" w:hanging="322"/>
      </w:pPr>
      <w:rPr>
        <w:rFonts w:hint="default"/>
      </w:rPr>
    </w:lvl>
    <w:lvl w:ilvl="4" w:tentative="0">
      <w:start w:val="0"/>
      <w:numFmt w:val="bullet"/>
      <w:lvlText w:val="•"/>
      <w:lvlJc w:val="left"/>
      <w:pPr>
        <w:ind w:left="3644" w:hanging="322"/>
      </w:pPr>
      <w:rPr>
        <w:rFonts w:hint="default"/>
      </w:rPr>
    </w:lvl>
    <w:lvl w:ilvl="5" w:tentative="0">
      <w:start w:val="0"/>
      <w:numFmt w:val="bullet"/>
      <w:lvlText w:val="•"/>
      <w:lvlJc w:val="left"/>
      <w:pPr>
        <w:ind w:left="4525" w:hanging="322"/>
      </w:pPr>
      <w:rPr>
        <w:rFonts w:hint="default"/>
      </w:rPr>
    </w:lvl>
    <w:lvl w:ilvl="6" w:tentative="0">
      <w:start w:val="0"/>
      <w:numFmt w:val="bullet"/>
      <w:lvlText w:val="•"/>
      <w:lvlJc w:val="left"/>
      <w:pPr>
        <w:ind w:left="5406" w:hanging="322"/>
      </w:pPr>
      <w:rPr>
        <w:rFonts w:hint="default"/>
      </w:rPr>
    </w:lvl>
    <w:lvl w:ilvl="7" w:tentative="0">
      <w:start w:val="0"/>
      <w:numFmt w:val="bullet"/>
      <w:lvlText w:val="•"/>
      <w:lvlJc w:val="left"/>
      <w:pPr>
        <w:ind w:left="6287" w:hanging="322"/>
      </w:pPr>
      <w:rPr>
        <w:rFonts w:hint="default"/>
      </w:rPr>
    </w:lvl>
    <w:lvl w:ilvl="8" w:tentative="0">
      <w:start w:val="0"/>
      <w:numFmt w:val="bullet"/>
      <w:lvlText w:val="•"/>
      <w:lvlJc w:val="left"/>
      <w:pPr>
        <w:ind w:left="7168" w:hanging="322"/>
      </w:pPr>
      <w:rPr>
        <w:rFonts w:hint="default"/>
      </w:r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abstractNum w:abstractNumId="2">
    <w:nsid w:val="268EC688"/>
    <w:multiLevelType w:val="singleLevel"/>
    <w:tmpl w:val="268EC688"/>
    <w:lvl w:ilvl="0" w:tentative="0">
      <w:start w:val="1"/>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1CB6341"/>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CE6734B"/>
    <w:rsid w:val="0D4903E8"/>
    <w:rsid w:val="0D7A4A46"/>
    <w:rsid w:val="0E640559"/>
    <w:rsid w:val="0F1113DA"/>
    <w:rsid w:val="0F78534A"/>
    <w:rsid w:val="0F89358A"/>
    <w:rsid w:val="0F8C6D51"/>
    <w:rsid w:val="105B0B5E"/>
    <w:rsid w:val="112E58D0"/>
    <w:rsid w:val="11731CAC"/>
    <w:rsid w:val="119500A0"/>
    <w:rsid w:val="11C0733B"/>
    <w:rsid w:val="11C353F0"/>
    <w:rsid w:val="11D50D17"/>
    <w:rsid w:val="120E0809"/>
    <w:rsid w:val="127F665A"/>
    <w:rsid w:val="128716AA"/>
    <w:rsid w:val="12F7068C"/>
    <w:rsid w:val="14207DC0"/>
    <w:rsid w:val="14B932DA"/>
    <w:rsid w:val="150A66AF"/>
    <w:rsid w:val="154C1139"/>
    <w:rsid w:val="158C5B77"/>
    <w:rsid w:val="15DB61AA"/>
    <w:rsid w:val="160D1149"/>
    <w:rsid w:val="163563C0"/>
    <w:rsid w:val="164315EF"/>
    <w:rsid w:val="16432DDD"/>
    <w:rsid w:val="16557DFE"/>
    <w:rsid w:val="167268FB"/>
    <w:rsid w:val="16770D0A"/>
    <w:rsid w:val="16D50C50"/>
    <w:rsid w:val="16E120E1"/>
    <w:rsid w:val="17385A05"/>
    <w:rsid w:val="173B3901"/>
    <w:rsid w:val="176747F9"/>
    <w:rsid w:val="17945CC0"/>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1B4E68"/>
    <w:rsid w:val="1D22799A"/>
    <w:rsid w:val="1D261C71"/>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2130C5"/>
    <w:rsid w:val="23326B7F"/>
    <w:rsid w:val="2380045B"/>
    <w:rsid w:val="23BC04D2"/>
    <w:rsid w:val="23EF1892"/>
    <w:rsid w:val="2483647E"/>
    <w:rsid w:val="24A32D55"/>
    <w:rsid w:val="25292727"/>
    <w:rsid w:val="252E5CA9"/>
    <w:rsid w:val="25536213"/>
    <w:rsid w:val="256F7692"/>
    <w:rsid w:val="25BA2154"/>
    <w:rsid w:val="25C8773F"/>
    <w:rsid w:val="26065EFC"/>
    <w:rsid w:val="264A7253"/>
    <w:rsid w:val="26F0170C"/>
    <w:rsid w:val="27201D62"/>
    <w:rsid w:val="27286E73"/>
    <w:rsid w:val="27CF2642"/>
    <w:rsid w:val="27E777F5"/>
    <w:rsid w:val="27EA1D4C"/>
    <w:rsid w:val="27EA2E41"/>
    <w:rsid w:val="282459E2"/>
    <w:rsid w:val="283A7FE5"/>
    <w:rsid w:val="285F51FF"/>
    <w:rsid w:val="28DF2665"/>
    <w:rsid w:val="29072599"/>
    <w:rsid w:val="291029F3"/>
    <w:rsid w:val="29596683"/>
    <w:rsid w:val="29CB58F0"/>
    <w:rsid w:val="2A053397"/>
    <w:rsid w:val="2A145E96"/>
    <w:rsid w:val="2A2131BB"/>
    <w:rsid w:val="2AF5378F"/>
    <w:rsid w:val="2B0734B0"/>
    <w:rsid w:val="2B261D74"/>
    <w:rsid w:val="2BB94DBF"/>
    <w:rsid w:val="2C6F314E"/>
    <w:rsid w:val="2CC206BE"/>
    <w:rsid w:val="2D1136DF"/>
    <w:rsid w:val="2D20606D"/>
    <w:rsid w:val="2DB87198"/>
    <w:rsid w:val="2DB93C54"/>
    <w:rsid w:val="2E3D144C"/>
    <w:rsid w:val="2E891204"/>
    <w:rsid w:val="2EC73FD5"/>
    <w:rsid w:val="2F3F0A28"/>
    <w:rsid w:val="2FBF7029"/>
    <w:rsid w:val="2FD0187F"/>
    <w:rsid w:val="2FD27414"/>
    <w:rsid w:val="2FFE4BB0"/>
    <w:rsid w:val="300E7B60"/>
    <w:rsid w:val="300F6E18"/>
    <w:rsid w:val="30862F5F"/>
    <w:rsid w:val="314029C9"/>
    <w:rsid w:val="31603E0A"/>
    <w:rsid w:val="31C63837"/>
    <w:rsid w:val="31C82E39"/>
    <w:rsid w:val="32601BAD"/>
    <w:rsid w:val="329F6389"/>
    <w:rsid w:val="3389023A"/>
    <w:rsid w:val="33CB74FA"/>
    <w:rsid w:val="343642F2"/>
    <w:rsid w:val="343F3010"/>
    <w:rsid w:val="345D0A00"/>
    <w:rsid w:val="34713BFD"/>
    <w:rsid w:val="34C13589"/>
    <w:rsid w:val="353369E3"/>
    <w:rsid w:val="355414D6"/>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4B0549"/>
    <w:rsid w:val="3A7F419A"/>
    <w:rsid w:val="3A893816"/>
    <w:rsid w:val="3A893B6D"/>
    <w:rsid w:val="3AD1763A"/>
    <w:rsid w:val="3B6716E3"/>
    <w:rsid w:val="3B6C6B2D"/>
    <w:rsid w:val="3C242659"/>
    <w:rsid w:val="3C96719C"/>
    <w:rsid w:val="3CA72BE8"/>
    <w:rsid w:val="3CF37F8C"/>
    <w:rsid w:val="3D137554"/>
    <w:rsid w:val="3D5275AC"/>
    <w:rsid w:val="3D847E62"/>
    <w:rsid w:val="3DCC2473"/>
    <w:rsid w:val="3DD92960"/>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5E2242"/>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577045"/>
    <w:rsid w:val="4A0A26D2"/>
    <w:rsid w:val="4A2019A5"/>
    <w:rsid w:val="4A241A0B"/>
    <w:rsid w:val="4A7B2875"/>
    <w:rsid w:val="4A934476"/>
    <w:rsid w:val="4AAA220A"/>
    <w:rsid w:val="4AE12E67"/>
    <w:rsid w:val="4AF45B64"/>
    <w:rsid w:val="4B4C0111"/>
    <w:rsid w:val="4B8553A9"/>
    <w:rsid w:val="4BDB3730"/>
    <w:rsid w:val="4C200F7A"/>
    <w:rsid w:val="4CEE3180"/>
    <w:rsid w:val="4D0F4AF6"/>
    <w:rsid w:val="4DF94F37"/>
    <w:rsid w:val="4E0A1DD5"/>
    <w:rsid w:val="4E3160E5"/>
    <w:rsid w:val="4E4D37AF"/>
    <w:rsid w:val="4E8C6496"/>
    <w:rsid w:val="4EFD18DE"/>
    <w:rsid w:val="4F144236"/>
    <w:rsid w:val="4F555069"/>
    <w:rsid w:val="4F663C87"/>
    <w:rsid w:val="4F7E29A8"/>
    <w:rsid w:val="4F9E1FFC"/>
    <w:rsid w:val="50447CC2"/>
    <w:rsid w:val="50874A7C"/>
    <w:rsid w:val="50895EE7"/>
    <w:rsid w:val="50921B9D"/>
    <w:rsid w:val="50D16158"/>
    <w:rsid w:val="50DB5F45"/>
    <w:rsid w:val="51025EB1"/>
    <w:rsid w:val="51141503"/>
    <w:rsid w:val="518D0ED5"/>
    <w:rsid w:val="51AD619D"/>
    <w:rsid w:val="525C687F"/>
    <w:rsid w:val="52F647F7"/>
    <w:rsid w:val="52F92565"/>
    <w:rsid w:val="53D03877"/>
    <w:rsid w:val="542F73CA"/>
    <w:rsid w:val="5430786D"/>
    <w:rsid w:val="545A1D2A"/>
    <w:rsid w:val="54C811C0"/>
    <w:rsid w:val="556A442D"/>
    <w:rsid w:val="55DA564E"/>
    <w:rsid w:val="55E12AE8"/>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373CEF"/>
    <w:rsid w:val="5A60780B"/>
    <w:rsid w:val="5A8F3386"/>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BF3BB1"/>
    <w:rsid w:val="5FE705CB"/>
    <w:rsid w:val="603D5080"/>
    <w:rsid w:val="60BA7BF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4FA12BD"/>
    <w:rsid w:val="651E5741"/>
    <w:rsid w:val="658A4877"/>
    <w:rsid w:val="65A00902"/>
    <w:rsid w:val="65AC6EDD"/>
    <w:rsid w:val="65D97752"/>
    <w:rsid w:val="66085536"/>
    <w:rsid w:val="66105BF7"/>
    <w:rsid w:val="66150023"/>
    <w:rsid w:val="6628010D"/>
    <w:rsid w:val="66551936"/>
    <w:rsid w:val="669B4528"/>
    <w:rsid w:val="66CC12D7"/>
    <w:rsid w:val="67134CEF"/>
    <w:rsid w:val="671F1ABD"/>
    <w:rsid w:val="67521A59"/>
    <w:rsid w:val="67B80208"/>
    <w:rsid w:val="67C304AB"/>
    <w:rsid w:val="680E7349"/>
    <w:rsid w:val="683F0658"/>
    <w:rsid w:val="689C6793"/>
    <w:rsid w:val="68DB0208"/>
    <w:rsid w:val="68FB170C"/>
    <w:rsid w:val="691B3D98"/>
    <w:rsid w:val="693748F0"/>
    <w:rsid w:val="69846A0E"/>
    <w:rsid w:val="69AA1366"/>
    <w:rsid w:val="69AD798C"/>
    <w:rsid w:val="69D005C0"/>
    <w:rsid w:val="69D80B96"/>
    <w:rsid w:val="6A876F59"/>
    <w:rsid w:val="6B68175F"/>
    <w:rsid w:val="6BFD799F"/>
    <w:rsid w:val="6C4A2E5A"/>
    <w:rsid w:val="6C8138D0"/>
    <w:rsid w:val="6CEF0725"/>
    <w:rsid w:val="6D4B2604"/>
    <w:rsid w:val="6D8030E4"/>
    <w:rsid w:val="6E0E35C4"/>
    <w:rsid w:val="6E0F7A08"/>
    <w:rsid w:val="6E3947F5"/>
    <w:rsid w:val="6E9C74ED"/>
    <w:rsid w:val="6EA71504"/>
    <w:rsid w:val="6EF72976"/>
    <w:rsid w:val="6F1B0F9C"/>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5F7237"/>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D97B3C"/>
    <w:rsid w:val="7AE952D2"/>
    <w:rsid w:val="7B5B2D22"/>
    <w:rsid w:val="7C7248A0"/>
    <w:rsid w:val="7C976D69"/>
    <w:rsid w:val="7CD752DA"/>
    <w:rsid w:val="7CDE40AB"/>
    <w:rsid w:val="7CF057E2"/>
    <w:rsid w:val="7D1548B5"/>
    <w:rsid w:val="7D706C80"/>
    <w:rsid w:val="7DF84014"/>
    <w:rsid w:val="7E207949"/>
    <w:rsid w:val="7E2521FB"/>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pPr>
      <w:ind w:left="120"/>
    </w:pPr>
    <w:rPr>
      <w:rFonts w:ascii="仿宋" w:hAnsi="仿宋" w:eastAsia="仿宋" w:cs="仿宋"/>
      <w:sz w:val="32"/>
      <w:szCs w:val="32"/>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styleId="16">
    <w:name w:val="List Paragraph"/>
    <w:basedOn w:val="1"/>
    <w:qFormat/>
    <w:uiPriority w:val="1"/>
    <w:pPr>
      <w:spacing w:before="5"/>
      <w:ind w:left="120" w:firstLine="640"/>
      <w:jc w:val="both"/>
    </w:pPr>
    <w:rPr>
      <w:rFonts w:ascii="仿宋" w:hAnsi="仿宋" w:eastAsia="仿宋" w:cs="仿宋"/>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6480</Words>
  <Characters>20825</Characters>
  <Lines>0</Lines>
  <Paragraphs>0</Paragraphs>
  <TotalTime>0</TotalTime>
  <ScaleCrop>false</ScaleCrop>
  <LinksUpToDate>false</LinksUpToDate>
  <CharactersWithSpaces>20937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2024-10-15T04:57:57Z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9EA508EA912747AA8E125380C4F7F9F0</vt:lpwstr>
  </property>
</Properties>
</file>