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新疆科技报社</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eastAsia="zh-CN"/>
        </w:rPr>
        <w:t xml:space="preserve"> 2023年度</w:t>
      </w:r>
      <w:r>
        <w:rPr>
          <w:rFonts w:hint="eastAsia" w:ascii="方正小标宋_GBK" w:hAnsi="宋体" w:eastAsia="方正小标宋_GBK"/>
          <w:color w:val="auto"/>
          <w:sz w:val="44"/>
          <w:szCs w:val="44"/>
          <w:highlight w:val="none"/>
        </w:rPr>
        <w:t>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24028"/>
      <w:bookmarkStart w:id="1" w:name="_Toc32314"/>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pPr>
        <w:ind w:firstLine="640" w:firstLineChars="200"/>
        <w:rPr>
          <w:rFonts w:ascii="黑体" w:hAnsi="黑体" w:eastAsia="黑体" w:cs="宋体"/>
          <w:bCs/>
          <w:kern w:val="0"/>
          <w:sz w:val="32"/>
          <w:szCs w:val="32"/>
        </w:rPr>
      </w:pPr>
      <w:bookmarkStart w:id="4" w:name="_Toc31238"/>
      <w:bookmarkStart w:id="5" w:name="_Toc2151"/>
      <w:r>
        <w:rPr>
          <w:rFonts w:ascii="仿宋_GB2312" w:eastAsia="仿宋_GB2312"/>
          <w:sz w:val="32"/>
          <w:szCs w:val="32"/>
        </w:rPr>
        <w:t>《新疆科技报》是承担舆论宣传任务的我区唯一综合类科技专业报纸，也是我区专业报、行业报中唯一拥有三种文版的报纸。是科技领域的宣传主阵地。按照习近平总书记关于“科技创新、科学普及是实现创新发展的两翼”的要求，新疆科技报社坚持党管媒体，立足科技特色，坚持科技新闻宣传、科学知识普及并举，做强正面宣传，传递党的声音。《新疆科技报》弘扬科学精神，传播科学思想，倡导科学方法，普及科学知识，推动全民科学素养提升，被广大读者誉为“科技信息的传递者，科技致富的好帮手，科学知识的普及者，科学生活的好顾问”。自2007年起至今连续多年跻身新疆新闻出版“东风工程”报刊行列</w:t>
      </w:r>
      <w:r>
        <w:rPr>
          <w:rFonts w:hint="eastAsia" w:ascii="仿宋_GB2312"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eastAsia="仿宋_GB2312"/>
          <w:color w:val="auto"/>
          <w:sz w:val="32"/>
          <w:szCs w:val="32"/>
          <w:highlight w:val="none"/>
          <w:lang w:val="en-US" w:eastAsia="zh-CN"/>
        </w:rPr>
        <w:t>新疆科技报社</w:t>
      </w:r>
      <w:r>
        <w:rPr>
          <w:rFonts w:hint="eastAsia" w:ascii="仿宋_GB2312" w:eastAsia="仿宋_GB2312"/>
          <w:color w:val="auto"/>
          <w:sz w:val="32"/>
          <w:szCs w:val="32"/>
          <w:highlight w:val="none"/>
          <w:lang w:eastAsia="zh-CN"/>
        </w:rPr>
        <w:t>2023年度，</w:t>
      </w:r>
      <w:r>
        <w:rPr>
          <w:rFonts w:hint="eastAsia" w:ascii="仿宋_GB2312" w:eastAsia="仿宋_GB2312"/>
          <w:color w:val="auto"/>
          <w:sz w:val="32"/>
          <w:szCs w:val="32"/>
          <w:highlight w:val="none"/>
        </w:rPr>
        <w:t>实有人数</w:t>
      </w:r>
      <w:r>
        <w:rPr>
          <w:rFonts w:hint="eastAsia" w:ascii="仿宋_GB2312" w:eastAsia="仿宋_GB2312"/>
          <w:color w:val="auto"/>
          <w:sz w:val="32"/>
          <w:szCs w:val="32"/>
          <w:highlight w:val="none"/>
          <w:lang w:val="zh-CN" w:eastAsia="zh-CN"/>
        </w:rPr>
        <w:t>54</w:t>
      </w:r>
      <w:r>
        <w:rPr>
          <w:rFonts w:hint="eastAsia" w:ascii="仿宋_GB2312" w:eastAsia="仿宋_GB2312"/>
          <w:color w:val="auto"/>
          <w:sz w:val="32"/>
          <w:szCs w:val="32"/>
          <w:highlight w:val="none"/>
        </w:rPr>
        <w:t>人，其中：在职人员</w:t>
      </w:r>
      <w:r>
        <w:rPr>
          <w:rFonts w:hint="eastAsia" w:ascii="仿宋_GB2312" w:eastAsia="仿宋_GB2312"/>
          <w:color w:val="auto"/>
          <w:sz w:val="32"/>
          <w:szCs w:val="32"/>
          <w:highlight w:val="none"/>
          <w:lang w:val="zh-CN" w:eastAsia="zh-CN"/>
        </w:rPr>
        <w:t>32</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仿宋_GB2312" w:eastAsia="仿宋_GB2312"/>
          <w:color w:val="auto"/>
          <w:sz w:val="32"/>
          <w:szCs w:val="32"/>
          <w:highlight w:val="none"/>
          <w:lang w:val="zh-CN" w:eastAsia="zh-CN"/>
        </w:rPr>
        <w:t>0</w:t>
      </w:r>
      <w:r>
        <w:rPr>
          <w:rFonts w:hint="eastAsia" w:ascii="仿宋_GB2312" w:eastAsia="仿宋_GB2312"/>
          <w:color w:val="auto"/>
          <w:sz w:val="32"/>
          <w:szCs w:val="32"/>
          <w:highlight w:val="none"/>
        </w:rPr>
        <w:t>人，退休人员</w:t>
      </w:r>
      <w:r>
        <w:rPr>
          <w:rFonts w:hint="eastAsia" w:ascii="仿宋_GB2312" w:eastAsia="仿宋_GB2312"/>
          <w:color w:val="auto"/>
          <w:sz w:val="32"/>
          <w:szCs w:val="32"/>
          <w:highlight w:val="none"/>
          <w:lang w:val="zh-CN" w:eastAsia="zh-CN"/>
        </w:rPr>
        <w:t>22</w:t>
      </w:r>
      <w:r>
        <w:rPr>
          <w:rFonts w:hint="eastAsia" w:ascii="仿宋_GB2312" w:eastAsia="仿宋_GB2312"/>
          <w:color w:val="auto"/>
          <w:sz w:val="32"/>
          <w:szCs w:val="32"/>
          <w:highlight w:val="none"/>
        </w:rPr>
        <w:t>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r>
        <w:rPr>
          <w:rFonts w:hint="eastAsia" w:ascii="仿宋_GB2312" w:hAnsi="黑体" w:eastAsia="仿宋_GB2312" w:cs="宋体"/>
          <w:bCs/>
          <w:color w:val="auto"/>
          <w:kern w:val="0"/>
          <w:sz w:val="32"/>
          <w:szCs w:val="32"/>
          <w:highlight w:val="none"/>
        </w:rPr>
        <w:t>单位无下属预算单位，下设</w:t>
      </w:r>
      <w:r>
        <w:rPr>
          <w:rFonts w:hint="eastAsia" w:ascii="仿宋_GB2312" w:eastAsia="仿宋_GB2312"/>
          <w:color w:val="auto"/>
          <w:sz w:val="32"/>
          <w:szCs w:val="32"/>
          <w:highlight w:val="none"/>
          <w:lang w:val="en-US" w:eastAsia="zh-CN"/>
        </w:rPr>
        <w:t>9个科</w:t>
      </w:r>
      <w:r>
        <w:rPr>
          <w:rFonts w:hint="eastAsia" w:ascii="仿宋_GB2312" w:hAnsi="黑体" w:eastAsia="仿宋_GB2312" w:cs="宋体"/>
          <w:bCs/>
          <w:color w:val="auto"/>
          <w:kern w:val="0"/>
          <w:sz w:val="32"/>
          <w:szCs w:val="32"/>
          <w:highlight w:val="none"/>
        </w:rPr>
        <w:t>室，分别是：</w:t>
      </w:r>
      <w:r>
        <w:rPr>
          <w:rFonts w:hint="eastAsia" w:ascii="仿宋_GB2312" w:hAnsi="黑体" w:eastAsia="仿宋_GB2312" w:cs="宋体"/>
          <w:bCs/>
          <w:kern w:val="0"/>
          <w:sz w:val="32"/>
          <w:szCs w:val="32"/>
        </w:rPr>
        <w:t>办公室、汉编部、维编部、哈编部、新闻部、发行部、广告部、通联部、财务部</w:t>
      </w:r>
      <w:r>
        <w:rPr>
          <w:rFonts w:hint="eastAsia" w:ascii="仿宋_GB2312" w:hAnsi="宋体" w:eastAsia="仿宋_GB2312" w:cs="宋体"/>
          <w:color w:val="auto"/>
          <w:kern w:val="0"/>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hAnsi="宋体" w:eastAsia="仿宋_GB2312" w:cs="宋体"/>
          <w:color w:val="auto"/>
          <w:kern w:val="0"/>
          <w:sz w:val="32"/>
          <w:szCs w:val="32"/>
          <w:highlight w:val="none"/>
        </w:rPr>
        <w:sectPr>
          <w:footerReference r:id="rId3" w:type="default"/>
          <w:pgSz w:w="11906" w:h="16838"/>
          <w:pgMar w:top="1440" w:right="1800" w:bottom="1440" w:left="1800" w:header="851" w:footer="992" w:gutter="0"/>
          <w:cols w:space="720"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6" w:name="_Toc3092"/>
      <w:bookmarkStart w:id="7" w:name="_Toc29374"/>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25314"/>
      <w:bookmarkStart w:id="9" w:name="_Toc12566"/>
      <w:r>
        <w:rPr>
          <w:rFonts w:hint="eastAsia" w:ascii="黑体" w:hAnsi="黑体" w:eastAsia="黑体" w:cs="宋体"/>
          <w:bCs/>
          <w:color w:val="auto"/>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pacing w:val="0"/>
          <w:sz w:val="32"/>
          <w:szCs w:val="32"/>
          <w:highlight w:val="none"/>
          <w:lang w:val="en-US" w:eastAsia="zh-CN"/>
        </w:rPr>
        <w:t>收入总计</w:t>
      </w:r>
      <w:r>
        <w:rPr>
          <w:rFonts w:hint="eastAsia" w:ascii="仿宋_GB2312" w:eastAsia="仿宋_GB2312"/>
          <w:color w:val="auto"/>
          <w:spacing w:val="0"/>
          <w:sz w:val="32"/>
          <w:szCs w:val="32"/>
          <w:highlight w:val="none"/>
          <w:lang w:eastAsia="zh-CN"/>
        </w:rPr>
        <w:t>891.34万元，</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eastAsia="zh-CN"/>
        </w:rPr>
        <w:t>852.06万元，使用非财政拨款结余0.47万元，年初结转和结余38.81万元。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2023</w:t>
      </w:r>
      <w:r>
        <w:rPr>
          <w:rFonts w:hint="eastAsia" w:ascii="仿宋_GB2312" w:eastAsia="仿宋_GB2312"/>
          <w:color w:val="auto"/>
          <w:spacing w:val="0"/>
          <w:sz w:val="32"/>
          <w:szCs w:val="32"/>
          <w:highlight w:val="none"/>
          <w:lang w:eastAsia="zh-CN"/>
        </w:rPr>
        <w:t>年</w:t>
      </w:r>
      <w:r>
        <w:rPr>
          <w:rFonts w:hint="eastAsia" w:ascii="仿宋_GB2312" w:eastAsia="仿宋_GB2312"/>
          <w:color w:val="auto"/>
          <w:spacing w:val="0"/>
          <w:sz w:val="32"/>
          <w:szCs w:val="32"/>
          <w:highlight w:val="none"/>
          <w:lang w:val="en-US" w:eastAsia="zh-CN"/>
        </w:rPr>
        <w:t>度</w:t>
      </w:r>
      <w:r>
        <w:rPr>
          <w:rFonts w:hint="eastAsia" w:ascii="仿宋_GB2312" w:eastAsia="仿宋_GB2312"/>
          <w:color w:val="auto"/>
          <w:spacing w:val="0"/>
          <w:sz w:val="32"/>
          <w:szCs w:val="32"/>
          <w:highlight w:val="none"/>
          <w:lang w:eastAsia="zh-CN"/>
        </w:rPr>
        <w:t>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eastAsia="zh-CN"/>
        </w:rPr>
        <w:t>891.34万元，</w:t>
      </w:r>
      <w:r>
        <w:rPr>
          <w:rFonts w:hint="eastAsia" w:ascii="仿宋_GB2312" w:eastAsia="仿宋_GB2312"/>
          <w:color w:val="auto"/>
          <w:spacing w:val="0"/>
          <w:sz w:val="32"/>
          <w:szCs w:val="32"/>
          <w:highlight w:val="none"/>
          <w:lang w:val="en-US" w:eastAsia="zh-CN"/>
        </w:rPr>
        <w:t>其中：本年支出合计</w:t>
      </w:r>
      <w:r>
        <w:rPr>
          <w:rFonts w:hint="eastAsia" w:ascii="仿宋_GB2312" w:eastAsia="仿宋_GB2312"/>
          <w:color w:val="auto"/>
          <w:spacing w:val="0"/>
          <w:sz w:val="32"/>
          <w:szCs w:val="32"/>
          <w:highlight w:val="none"/>
          <w:lang w:eastAsia="zh-CN"/>
        </w:rPr>
        <w:t>874.57万元，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0.00万元，年末结转和结余16.77万元。</w:t>
      </w:r>
    </w:p>
    <w:p>
      <w:pPr>
        <w:pStyle w:val="11"/>
        <w:ind w:left="0" w:leftChars="0" w:firstLine="640" w:firstLineChars="200"/>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收入支出总体与上年相比</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减少71.10万元</w:t>
      </w:r>
      <w:r>
        <w:rPr>
          <w:rFonts w:hint="eastAsia" w:ascii="仿宋_GB2312" w:eastAsia="仿宋_GB2312"/>
          <w:color w:val="auto"/>
          <w:spacing w:val="0"/>
          <w:sz w:val="32"/>
          <w:szCs w:val="32"/>
          <w:highlight w:val="none"/>
          <w:lang w:eastAsia="zh-CN"/>
        </w:rPr>
        <w:t>，下降7.39%，主要原因是：收入减少</w:t>
      </w:r>
      <w:r>
        <w:rPr>
          <w:rFonts w:hint="eastAsia" w:ascii="仿宋_GB2312" w:hAnsi="仿宋" w:eastAsia="仿宋_GB2312" w:cs="Times New Roman"/>
          <w:kern w:val="2"/>
          <w:sz w:val="32"/>
          <w:szCs w:val="32"/>
          <w:lang w:val="en-US" w:eastAsia="zh-CN" w:bidi="ar-SA"/>
        </w:rPr>
        <w:t>一是报纸发行收入、广告收入减少，事业收入减少，二是科技计划项目专项经费减少，其他收入减少。支出减少一是依财政要求退回退休人员医疗费补助，二是科研项目专项经费支出减少。</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979"/>
      <w:bookmarkStart w:id="11"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本年收入</w:t>
      </w:r>
      <w:r>
        <w:rPr>
          <w:rFonts w:hint="eastAsia" w:ascii="仿宋_GB2312" w:eastAsia="仿宋_GB2312"/>
          <w:color w:val="auto"/>
          <w:sz w:val="32"/>
          <w:szCs w:val="32"/>
          <w:highlight w:val="none"/>
          <w:lang w:eastAsia="zh-CN"/>
        </w:rPr>
        <w:t>852.06</w:t>
      </w:r>
      <w:r>
        <w:rPr>
          <w:rFonts w:hint="eastAsia" w:ascii="仿宋_GB2312" w:eastAsia="仿宋_GB2312"/>
          <w:color w:val="auto"/>
          <w:sz w:val="32"/>
          <w:szCs w:val="32"/>
          <w:highlight w:val="none"/>
        </w:rPr>
        <w:t>万元，其中：财政拨款收入</w:t>
      </w:r>
      <w:r>
        <w:rPr>
          <w:rFonts w:hint="eastAsia" w:ascii="仿宋_GB2312" w:eastAsia="仿宋_GB2312"/>
          <w:color w:val="auto"/>
          <w:sz w:val="32"/>
          <w:szCs w:val="32"/>
          <w:highlight w:val="none"/>
          <w:lang w:val="zh-CN"/>
        </w:rPr>
        <w:t>722.74</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84.82</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89.15</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10.46</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40.17</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4.71</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27961"/>
      <w:bookmarkStart w:id="13" w:name="_Toc13201"/>
      <w:r>
        <w:rPr>
          <w:rFonts w:hint="eastAsia" w:ascii="黑体" w:hAnsi="黑体" w:eastAsia="黑体" w:cs="宋体"/>
          <w:bCs/>
          <w:color w:val="auto"/>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val="zh-CN" w:eastAsia="zh-CN"/>
        </w:rPr>
      </w:pPr>
      <w:r>
        <w:rPr>
          <w:rFonts w:hint="eastAsia" w:ascii="仿宋_GB2312" w:eastAsia="仿宋_GB2312"/>
          <w:color w:val="auto"/>
          <w:spacing w:val="0"/>
          <w:sz w:val="32"/>
          <w:szCs w:val="32"/>
          <w:highlight w:val="none"/>
          <w:lang w:val="zh-CN" w:eastAsia="zh-CN"/>
        </w:rPr>
        <w:t>本年支出874.57万元，其中：基本支出675.78万元，占77.27%；项目支出198.79万元，占22.73%；上缴上级支出0.00万元，占0.00%；经营支出0.00万元，占0.00%；对附属单位补助支出0.00万元，占0.00%。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4393"/>
      <w:bookmarkStart w:id="15" w:name="_Toc26564"/>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2023年度财政拨款收入</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722.74</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ascii="仿宋_GB2312" w:eastAsia="仿宋_GB2312"/>
          <w:color w:val="auto"/>
          <w:spacing w:val="0"/>
          <w:sz w:val="32"/>
          <w:szCs w:val="32"/>
          <w:highlight w:val="none"/>
          <w:lang w:val="zh-CN" w:eastAsia="zh-CN"/>
        </w:rPr>
        <w:t>722.74</w:t>
      </w:r>
      <w:r>
        <w:rPr>
          <w:rFonts w:hint="eastAsia" w:ascii="仿宋_GB2312" w:eastAsia="仿宋_GB2312"/>
          <w:color w:val="auto"/>
          <w:spacing w:val="0"/>
          <w:sz w:val="32"/>
          <w:szCs w:val="32"/>
          <w:highlight w:val="none"/>
          <w:lang w:eastAsia="zh-CN"/>
        </w:rPr>
        <w:t>万元。财政拨款支出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722.74</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ascii="仿宋_GB2312" w:eastAsia="仿宋_GB2312"/>
          <w:color w:val="auto"/>
          <w:spacing w:val="0"/>
          <w:sz w:val="32"/>
          <w:szCs w:val="32"/>
          <w:highlight w:val="none"/>
          <w:lang w:val="zh-CN" w:eastAsia="zh-CN"/>
        </w:rPr>
        <w:t>722.74</w:t>
      </w:r>
      <w:r>
        <w:rPr>
          <w:rFonts w:hint="eastAsia" w:ascii="仿宋_GB2312" w:eastAsia="仿宋_GB2312"/>
          <w:color w:val="auto"/>
          <w:spacing w:val="0"/>
          <w:sz w:val="32"/>
          <w:szCs w:val="32"/>
          <w:highlight w:val="none"/>
          <w:lang w:eastAsia="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财政拨款收入支出总体与上年相比</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增加44.89万元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增长6.62%,</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en-US" w:eastAsia="zh-CN"/>
        </w:rPr>
        <w:t>在职人员工资社保经费和公用经费增加</w:t>
      </w:r>
      <w:r>
        <w:rPr>
          <w:rFonts w:hint="eastAsia" w:ascii="仿宋_GB2312" w:eastAsia="仿宋_GB2312"/>
          <w:color w:val="auto"/>
          <w:spacing w:val="0"/>
          <w:sz w:val="32"/>
          <w:szCs w:val="32"/>
          <w:highlight w:val="none"/>
          <w:lang w:eastAsia="zh-CN"/>
        </w:rPr>
        <w:t>。与年初预算相比，年初预算数</w:t>
      </w:r>
      <w:r>
        <w:rPr>
          <w:rFonts w:hint="eastAsia" w:ascii="仿宋_GB2312" w:eastAsia="仿宋_GB2312"/>
          <w:color w:val="auto"/>
          <w:spacing w:val="0"/>
          <w:sz w:val="32"/>
          <w:szCs w:val="32"/>
          <w:highlight w:val="none"/>
          <w:lang w:val="zh-CN" w:eastAsia="zh-CN"/>
        </w:rPr>
        <w:t>711.01</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722.74</w:t>
      </w:r>
      <w:r>
        <w:rPr>
          <w:rFonts w:hint="eastAsia" w:ascii="仿宋_GB2312" w:eastAsia="仿宋_GB2312"/>
          <w:color w:val="auto"/>
          <w:spacing w:val="0"/>
          <w:sz w:val="32"/>
          <w:szCs w:val="32"/>
          <w:highlight w:val="none"/>
          <w:lang w:eastAsia="zh-CN"/>
        </w:rPr>
        <w:t>万元，预决算差异率1.65%，主要原因是：年中</w:t>
      </w:r>
      <w:r>
        <w:rPr>
          <w:rFonts w:hint="eastAsia" w:ascii="仿宋_GB2312" w:eastAsia="仿宋_GB2312"/>
          <w:color w:val="auto"/>
          <w:spacing w:val="0"/>
          <w:sz w:val="32"/>
          <w:szCs w:val="32"/>
          <w:highlight w:val="none"/>
          <w:lang w:val="en-US" w:eastAsia="zh-CN"/>
        </w:rPr>
        <w:t>追加绩效奖金33.24万元，调增艰边贴4.82万元，结对认亲交通费2.17万元，依财政要求收回退休人员医疗费补助28.50万元。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6" w:name="_Toc20360"/>
      <w:bookmarkStart w:id="17"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2023年度一般公共预算财政拨款支出722.74万元，占本年支出合计的</w:t>
      </w:r>
      <w:r>
        <w:rPr>
          <w:rFonts w:hint="eastAsia" w:ascii="仿宋_GB2312" w:eastAsia="仿宋_GB2312"/>
          <w:color w:val="auto"/>
          <w:spacing w:val="0"/>
          <w:sz w:val="32"/>
          <w:szCs w:val="32"/>
          <w:highlight w:val="none"/>
          <w:lang w:val="zh-CN" w:eastAsia="zh-CN"/>
        </w:rPr>
        <w:t>82.64%</w:t>
      </w:r>
      <w:r>
        <w:rPr>
          <w:rFonts w:hint="eastAsia" w:ascii="仿宋_GB2312" w:eastAsia="仿宋_GB2312"/>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增加44.89万元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增长6.62%,</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en-US" w:eastAsia="zh-CN"/>
        </w:rPr>
        <w:t>在职人员工资社保经费和公用经费增加</w:t>
      </w:r>
      <w:r>
        <w:rPr>
          <w:rFonts w:hint="eastAsia" w:ascii="仿宋_GB2312" w:eastAsia="仿宋_GB2312"/>
          <w:color w:val="auto"/>
          <w:spacing w:val="0"/>
          <w:sz w:val="32"/>
          <w:szCs w:val="32"/>
          <w:highlight w:val="none"/>
          <w:lang w:eastAsia="zh-CN"/>
        </w:rPr>
        <w:t>。与年初预算相比，年初预算数</w:t>
      </w:r>
      <w:r>
        <w:rPr>
          <w:rFonts w:hint="eastAsia" w:ascii="仿宋_GB2312" w:eastAsia="仿宋_GB2312"/>
          <w:color w:val="auto"/>
          <w:spacing w:val="0"/>
          <w:sz w:val="32"/>
          <w:szCs w:val="32"/>
          <w:highlight w:val="none"/>
          <w:lang w:val="zh-CN" w:eastAsia="zh-CN"/>
        </w:rPr>
        <w:t>711.01</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722.74</w:t>
      </w:r>
      <w:r>
        <w:rPr>
          <w:rFonts w:hint="eastAsia" w:ascii="仿宋_GB2312" w:eastAsia="仿宋_GB2312"/>
          <w:color w:val="auto"/>
          <w:spacing w:val="0"/>
          <w:sz w:val="32"/>
          <w:szCs w:val="32"/>
          <w:highlight w:val="none"/>
          <w:lang w:eastAsia="zh-CN"/>
        </w:rPr>
        <w:t>万元，预决算差异率</w:t>
      </w:r>
      <w:r>
        <w:rPr>
          <w:rFonts w:hint="eastAsia" w:ascii="仿宋_GB2312" w:eastAsia="仿宋_GB2312"/>
          <w:color w:val="auto"/>
          <w:spacing w:val="0"/>
          <w:sz w:val="32"/>
          <w:szCs w:val="32"/>
          <w:highlight w:val="none"/>
          <w:lang w:val="zh-CN" w:eastAsia="zh-CN"/>
        </w:rPr>
        <w:t>1.65%</w:t>
      </w:r>
      <w:r>
        <w:rPr>
          <w:rFonts w:hint="eastAsia" w:ascii="仿宋_GB2312" w:eastAsia="仿宋_GB2312"/>
          <w:color w:val="auto"/>
          <w:spacing w:val="0"/>
          <w:sz w:val="32"/>
          <w:szCs w:val="32"/>
          <w:highlight w:val="none"/>
          <w:lang w:eastAsia="zh-CN"/>
        </w:rPr>
        <w:t>，主要原因是：年中</w:t>
      </w:r>
      <w:r>
        <w:rPr>
          <w:rFonts w:hint="eastAsia" w:ascii="仿宋_GB2312" w:eastAsia="仿宋_GB2312"/>
          <w:color w:val="auto"/>
          <w:spacing w:val="0"/>
          <w:sz w:val="32"/>
          <w:szCs w:val="32"/>
          <w:highlight w:val="none"/>
          <w:lang w:val="en-US" w:eastAsia="zh-CN"/>
        </w:rPr>
        <w:t>追加绩效奖金33.24万元，调增艰边贴4.82万元，结对认亲交通费2.17万元，依财政要求收回退休人员医疗费补助28.50万元。</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en-US"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1</w:t>
      </w:r>
      <w:r>
        <w:rPr>
          <w:rFonts w:hint="default" w:ascii="仿宋_GB2312" w:hAnsi="Times New Roman" w:eastAsia="仿宋_GB2312" w:cs="Times New Roman"/>
          <w:color w:val="auto"/>
          <w:spacing w:val="0"/>
          <w:kern w:val="2"/>
          <w:sz w:val="32"/>
          <w:szCs w:val="32"/>
          <w:highlight w:val="none"/>
          <w:lang w:val="en-US"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科学技术支出（类）</w:t>
      </w:r>
      <w:r>
        <w:rPr>
          <w:rFonts w:hint="eastAsia" w:ascii="仿宋_GB2312" w:hAnsi="Times New Roman" w:eastAsia="仿宋_GB2312" w:cs="Times New Roman"/>
          <w:color w:val="auto"/>
          <w:spacing w:val="0"/>
          <w:kern w:val="2"/>
          <w:sz w:val="32"/>
          <w:szCs w:val="32"/>
          <w:highlight w:val="none"/>
          <w:lang w:val="zh-CN" w:eastAsia="zh-CN" w:bidi="ar-SA"/>
        </w:rPr>
        <w:t>95.00</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13.14</w:t>
      </w:r>
      <w:r>
        <w:rPr>
          <w:rFonts w:hint="default" w:ascii="仿宋_GB2312" w:hAnsi="Times New Roman" w:eastAsia="仿宋_GB2312" w:cs="Times New Roman"/>
          <w:color w:val="auto"/>
          <w:spacing w:val="0"/>
          <w:kern w:val="2"/>
          <w:sz w:val="32"/>
          <w:szCs w:val="32"/>
          <w:highlight w:val="none"/>
          <w:lang w:val="en-US" w:eastAsia="zh-CN" w:bidi="ar-SA"/>
        </w:rPr>
        <w:t>%</w:t>
      </w:r>
      <w:r>
        <w:rPr>
          <w:rFonts w:hint="eastAsia" w:ascii="仿宋_GB2312" w:hAnsi="Times New Roman" w:eastAsia="仿宋_GB2312" w:cs="Times New Roman"/>
          <w:color w:val="auto"/>
          <w:spacing w:val="0"/>
          <w:kern w:val="2"/>
          <w:sz w:val="32"/>
          <w:szCs w:val="32"/>
          <w:highlight w:val="none"/>
          <w:lang w:val="en-US" w:eastAsia="zh-CN" w:bidi="ar-SA"/>
        </w:rPr>
        <w:t>。</w:t>
      </w:r>
    </w:p>
    <w:p>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2</w:t>
      </w:r>
      <w:r>
        <w:rPr>
          <w:rFonts w:hint="default" w:ascii="仿宋_GB2312" w:hAnsi="Times New Roman" w:eastAsia="仿宋_GB2312" w:cs="Times New Roman"/>
          <w:color w:val="auto"/>
          <w:spacing w:val="0"/>
          <w:kern w:val="2"/>
          <w:sz w:val="32"/>
          <w:szCs w:val="32"/>
          <w:highlight w:val="none"/>
          <w:lang w:val="zh-CN" w:eastAsia="zh-CN" w:bidi="ar-SA"/>
        </w:rPr>
        <w:t>.文化旅游体育与传媒支出（类）</w:t>
      </w:r>
      <w:r>
        <w:rPr>
          <w:rFonts w:hint="eastAsia" w:ascii="仿宋_GB2312" w:hAnsi="Times New Roman" w:eastAsia="仿宋_GB2312" w:cs="Times New Roman"/>
          <w:color w:val="auto"/>
          <w:spacing w:val="0"/>
          <w:kern w:val="2"/>
          <w:sz w:val="32"/>
          <w:szCs w:val="32"/>
          <w:highlight w:val="none"/>
          <w:lang w:val="zh-CN" w:eastAsia="zh-CN" w:bidi="ar-SA"/>
        </w:rPr>
        <w:t>626.48</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86.68</w:t>
      </w:r>
      <w:r>
        <w:rPr>
          <w:rFonts w:hint="default" w:ascii="仿宋_GB2312" w:hAnsi="Times New Roman" w:eastAsia="仿宋_GB2312" w:cs="Times New Roman"/>
          <w:color w:val="auto"/>
          <w:spacing w:val="0"/>
          <w:kern w:val="2"/>
          <w:sz w:val="32"/>
          <w:szCs w:val="32"/>
          <w:highlight w:val="none"/>
          <w:lang w:val="zh-CN" w:eastAsia="zh-CN" w:bidi="ar-SA"/>
        </w:rPr>
        <w:t>%</w:t>
      </w:r>
      <w:r>
        <w:rPr>
          <w:rFonts w:hint="eastAsia" w:ascii="仿宋_GB2312" w:hAnsi="Times New Roman" w:eastAsia="仿宋_GB2312" w:cs="Times New Roman"/>
          <w:color w:val="auto"/>
          <w:spacing w:val="0"/>
          <w:kern w:val="2"/>
          <w:sz w:val="32"/>
          <w:szCs w:val="32"/>
          <w:highlight w:val="none"/>
          <w:lang w:val="zh-CN" w:eastAsia="zh-CN" w:bidi="ar-SA"/>
        </w:rPr>
        <w:t>。</w:t>
      </w:r>
    </w:p>
    <w:p>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3</w:t>
      </w:r>
      <w:r>
        <w:rPr>
          <w:rFonts w:hint="default" w:ascii="仿宋_GB2312" w:hAnsi="Times New Roman" w:eastAsia="仿宋_GB2312" w:cs="Times New Roman"/>
          <w:color w:val="auto"/>
          <w:spacing w:val="0"/>
          <w:kern w:val="2"/>
          <w:sz w:val="32"/>
          <w:szCs w:val="32"/>
          <w:highlight w:val="none"/>
          <w:lang w:val="zh-CN" w:eastAsia="zh-CN" w:bidi="ar-SA"/>
        </w:rPr>
        <w:t>.社会保障和就业支出（类）</w:t>
      </w:r>
      <w:r>
        <w:rPr>
          <w:rFonts w:hint="eastAsia" w:ascii="仿宋_GB2312" w:hAnsi="Times New Roman" w:eastAsia="仿宋_GB2312" w:cs="Times New Roman"/>
          <w:color w:val="auto"/>
          <w:spacing w:val="0"/>
          <w:kern w:val="2"/>
          <w:sz w:val="32"/>
          <w:szCs w:val="32"/>
          <w:highlight w:val="none"/>
          <w:lang w:val="zh-CN" w:eastAsia="zh-CN" w:bidi="ar-SA"/>
        </w:rPr>
        <w:t>1.26</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0.17</w:t>
      </w:r>
      <w:r>
        <w:rPr>
          <w:rFonts w:hint="default" w:ascii="仿宋_GB2312" w:hAnsi="Times New Roman" w:eastAsia="仿宋_GB2312" w:cs="Times New Roman"/>
          <w:color w:val="auto"/>
          <w:spacing w:val="0"/>
          <w:kern w:val="2"/>
          <w:sz w:val="32"/>
          <w:szCs w:val="32"/>
          <w:highlight w:val="none"/>
          <w:lang w:val="zh-CN" w:eastAsia="zh-CN" w:bidi="ar-SA"/>
        </w:rPr>
        <w:t>%</w:t>
      </w:r>
      <w:r>
        <w:rPr>
          <w:rFonts w:hint="eastAsia"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val="zh-CN" w:eastAsia="zh-CN"/>
        </w:rPr>
      </w:pPr>
      <w:r>
        <w:rPr>
          <w:rFonts w:hint="eastAsia" w:ascii="仿宋_GB2312" w:eastAsia="仿宋_GB2312"/>
          <w:color w:val="auto"/>
          <w:spacing w:val="0"/>
          <w:sz w:val="32"/>
          <w:szCs w:val="32"/>
          <w:highlight w:val="none"/>
          <w:lang w:val="en-US" w:eastAsia="zh-CN"/>
        </w:rPr>
        <w:t>1.科学技术支出（类）科技条件与服务（款）其他科技条件与服务支出（项）:支出决算数为95.00万元，比上年决算增加0.00万元，增长0.00%，主要原因是：</w:t>
      </w:r>
      <w:r>
        <w:rPr>
          <w:rFonts w:hint="eastAsia" w:ascii="仿宋_GB2312" w:eastAsia="仿宋_GB2312"/>
          <w:color w:val="auto"/>
          <w:spacing w:val="0"/>
          <w:sz w:val="32"/>
          <w:szCs w:val="32"/>
          <w:highlight w:val="none"/>
          <w:lang w:eastAsia="zh-CN"/>
        </w:rPr>
        <w:t>报纸印刷费用增减变动不大，印刷费专项经费支出与上年持平</w:t>
      </w:r>
      <w:r>
        <w:rPr>
          <w:rFonts w:hint="eastAsia" w:ascii="仿宋_GB2312" w:eastAsia="仿宋_GB2312"/>
          <w:color w:val="auto"/>
          <w:spacing w:val="0"/>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val="zh-CN" w:eastAsia="zh-CN"/>
        </w:rPr>
      </w:pPr>
      <w:r>
        <w:rPr>
          <w:rFonts w:hint="eastAsia" w:ascii="仿宋_GB2312" w:eastAsia="仿宋_GB2312"/>
          <w:color w:val="auto"/>
          <w:spacing w:val="0"/>
          <w:sz w:val="32"/>
          <w:szCs w:val="32"/>
          <w:highlight w:val="none"/>
          <w:lang w:val="en-US" w:eastAsia="zh-CN"/>
        </w:rPr>
        <w:t>2.文化旅游体育与传媒支出（类）新闻出版电影（款）出版发行（项）:支出决算数为626.48万元，比上年决算增加170.41万元，增长37.37%，主要原因是：</w:t>
      </w:r>
      <w:r>
        <w:rPr>
          <w:rFonts w:hint="eastAsia" w:ascii="仿宋_GB2312" w:eastAsia="仿宋_GB2312"/>
          <w:color w:val="auto"/>
          <w:spacing w:val="0"/>
          <w:sz w:val="32"/>
          <w:szCs w:val="32"/>
          <w:highlight w:val="none"/>
          <w:lang w:eastAsia="zh-CN"/>
        </w:rPr>
        <w:t>一是自治区提高职工工资标准，形成新疆科技报社职工工资福利支出、对个人和家人的补助支出增加，二是为了更客观、准确、真实的反应新疆科技报社相关支出，依据政府收支分类科目相关说明，</w:t>
      </w:r>
      <w:r>
        <w:rPr>
          <w:rFonts w:hint="eastAsia" w:ascii="仿宋_GB2312" w:eastAsia="仿宋_GB2312"/>
          <w:color w:val="auto"/>
          <w:spacing w:val="0"/>
          <w:sz w:val="32"/>
          <w:szCs w:val="32"/>
          <w:highlight w:val="none"/>
          <w:lang w:val="en-US" w:eastAsia="zh-CN"/>
        </w:rPr>
        <w:t>2023</w:t>
      </w:r>
      <w:r>
        <w:rPr>
          <w:rFonts w:hint="eastAsia" w:ascii="仿宋_GB2312" w:eastAsia="仿宋_GB2312"/>
          <w:color w:val="auto"/>
          <w:spacing w:val="0"/>
          <w:sz w:val="32"/>
          <w:szCs w:val="32"/>
          <w:highlight w:val="none"/>
          <w:lang w:eastAsia="zh-CN"/>
        </w:rPr>
        <w:t>年新疆科技报社将社会保障和就业支出由原使用功能科目</w:t>
      </w:r>
      <w:r>
        <w:rPr>
          <w:rFonts w:hint="eastAsia" w:ascii="仿宋_GB2312" w:eastAsia="仿宋_GB2312"/>
          <w:color w:val="auto"/>
          <w:spacing w:val="0"/>
          <w:sz w:val="32"/>
          <w:szCs w:val="32"/>
          <w:highlight w:val="none"/>
          <w:lang w:val="en-US" w:eastAsia="zh-CN"/>
        </w:rPr>
        <w:t>2080505</w:t>
      </w:r>
      <w:r>
        <w:rPr>
          <w:rFonts w:hint="eastAsia" w:ascii="仿宋_GB2312" w:eastAsia="仿宋_GB2312"/>
          <w:color w:val="auto"/>
          <w:spacing w:val="0"/>
          <w:sz w:val="32"/>
          <w:szCs w:val="32"/>
          <w:highlight w:val="none"/>
          <w:lang w:eastAsia="zh-CN"/>
        </w:rPr>
        <w:t>机关事业单位基本养老保险缴费支出和</w:t>
      </w:r>
      <w:r>
        <w:rPr>
          <w:rFonts w:hint="eastAsia" w:ascii="仿宋_GB2312" w:eastAsia="仿宋_GB2312"/>
          <w:color w:val="auto"/>
          <w:spacing w:val="0"/>
          <w:sz w:val="32"/>
          <w:szCs w:val="32"/>
          <w:highlight w:val="none"/>
          <w:lang w:val="en-US" w:eastAsia="zh-CN"/>
        </w:rPr>
        <w:t>2080506</w:t>
      </w:r>
      <w:r>
        <w:rPr>
          <w:rFonts w:hint="eastAsia" w:ascii="仿宋_GB2312" w:eastAsia="仿宋_GB2312"/>
          <w:color w:val="auto"/>
          <w:spacing w:val="0"/>
          <w:sz w:val="32"/>
          <w:szCs w:val="32"/>
          <w:highlight w:val="none"/>
          <w:lang w:eastAsia="zh-CN"/>
        </w:rPr>
        <w:t>机关事业单位职业年金缴费支出变更为</w:t>
      </w:r>
      <w:r>
        <w:rPr>
          <w:rFonts w:hint="eastAsia" w:ascii="仿宋_GB2312" w:eastAsia="仿宋_GB2312"/>
          <w:color w:val="auto"/>
          <w:spacing w:val="0"/>
          <w:sz w:val="32"/>
          <w:szCs w:val="32"/>
          <w:highlight w:val="none"/>
          <w:lang w:val="en-US" w:eastAsia="zh-CN"/>
        </w:rPr>
        <w:t>2070605出版发行</w:t>
      </w:r>
      <w:r>
        <w:rPr>
          <w:rFonts w:hint="eastAsia" w:ascii="仿宋_GB2312" w:eastAsia="仿宋_GB2312"/>
          <w:color w:val="auto"/>
          <w:spacing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val="zh-CN" w:eastAsia="zh-CN"/>
        </w:rPr>
      </w:pPr>
      <w:r>
        <w:rPr>
          <w:rFonts w:hint="eastAsia" w:ascii="仿宋_GB2312" w:eastAsia="仿宋_GB2312"/>
          <w:color w:val="auto"/>
          <w:spacing w:val="0"/>
          <w:sz w:val="32"/>
          <w:szCs w:val="32"/>
          <w:highlight w:val="none"/>
          <w:lang w:val="en-US" w:eastAsia="zh-CN"/>
        </w:rPr>
        <w:t>3.社会保障和就业支出（类）行政事业单位养老支出（款）事业单位离退休（项）:支出决算数为1.26万元，比上年决算减少27.18万元，下降95.57%，主要原因是：依据新财社[2023]168号文件要求，财政收回2023年离退休人员医疗保险单位缴费部分。</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val="zh-CN" w:eastAsia="zh-CN"/>
        </w:rPr>
      </w:pPr>
      <w:r>
        <w:rPr>
          <w:rFonts w:hint="eastAsia" w:ascii="仿宋_GB2312" w:eastAsia="仿宋_GB2312"/>
          <w:color w:val="auto"/>
          <w:spacing w:val="0"/>
          <w:sz w:val="32"/>
          <w:szCs w:val="32"/>
          <w:highlight w:val="none"/>
          <w:lang w:val="en-US" w:eastAsia="zh-CN"/>
        </w:rPr>
        <w:t>4.科学技术支出（类）科学技术管理事务（款）其他科学技术管理事务支出（项）:支出决算数为0.00万元，比上年决算减少10.00万元，下降100%，主要原因是：</w:t>
      </w:r>
      <w:r>
        <w:rPr>
          <w:rFonts w:hint="eastAsia" w:ascii="仿宋_GB2312" w:eastAsia="仿宋_GB2312"/>
          <w:color w:val="auto"/>
          <w:spacing w:val="0"/>
          <w:sz w:val="32"/>
          <w:szCs w:val="32"/>
          <w:highlight w:val="none"/>
          <w:lang w:eastAsia="zh-CN"/>
        </w:rPr>
        <w:t>本年减少自治区科技计划管理经费</w:t>
      </w:r>
      <w:r>
        <w:rPr>
          <w:rFonts w:hint="eastAsia" w:ascii="仿宋_GB2312" w:eastAsia="仿宋_GB2312"/>
          <w:color w:val="auto"/>
          <w:spacing w:val="0"/>
          <w:sz w:val="32"/>
          <w:szCs w:val="32"/>
          <w:highlight w:val="none"/>
          <w:lang w:val="en-US" w:eastAsia="zh-CN"/>
        </w:rPr>
        <w:t>10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val="zh-CN" w:eastAsia="zh-CN"/>
        </w:rPr>
      </w:pPr>
      <w:r>
        <w:rPr>
          <w:rFonts w:hint="eastAsia" w:ascii="仿宋_GB2312" w:eastAsia="仿宋_GB2312"/>
          <w:color w:val="auto"/>
          <w:spacing w:val="0"/>
          <w:sz w:val="32"/>
          <w:szCs w:val="32"/>
          <w:highlight w:val="none"/>
          <w:lang w:val="en-US" w:eastAsia="zh-CN"/>
        </w:rPr>
        <w:t>5.科学技术支出（类）科学技术普及（款）科普活动（项）:支出决算数为0.00万元，比上年决算减少20.00万元，下降100%，主要原因是：</w:t>
      </w:r>
      <w:r>
        <w:rPr>
          <w:rFonts w:hint="eastAsia" w:ascii="仿宋_GB2312" w:eastAsia="仿宋_GB2312"/>
          <w:color w:val="auto"/>
          <w:spacing w:val="0"/>
          <w:sz w:val="32"/>
          <w:szCs w:val="32"/>
          <w:highlight w:val="none"/>
          <w:lang w:eastAsia="zh-CN"/>
        </w:rPr>
        <w:t>本年减少科普活动经费</w:t>
      </w:r>
      <w:r>
        <w:rPr>
          <w:rFonts w:hint="eastAsia" w:ascii="仿宋_GB2312" w:eastAsia="仿宋_GB2312"/>
          <w:color w:val="auto"/>
          <w:spacing w:val="0"/>
          <w:sz w:val="32"/>
          <w:szCs w:val="32"/>
          <w:highlight w:val="none"/>
          <w:lang w:val="en-US" w:eastAsia="zh-CN"/>
        </w:rPr>
        <w:t>20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val="zh-CN" w:eastAsia="zh-CN"/>
        </w:rPr>
      </w:pPr>
      <w:r>
        <w:rPr>
          <w:rFonts w:hint="eastAsia" w:ascii="仿宋_GB2312" w:eastAsia="仿宋_GB2312"/>
          <w:color w:val="auto"/>
          <w:spacing w:val="0"/>
          <w:sz w:val="32"/>
          <w:szCs w:val="32"/>
          <w:highlight w:val="none"/>
          <w:lang w:val="en-US" w:eastAsia="zh-CN"/>
        </w:rPr>
        <w:t>6.社会保障和就业支出（类）行政事业单位养老支出（款）机关事业单位职业年金缴费支出（项）:支出决算数为0.00万元，比上年决算减少22.15万元，下降100%，主要原因是：</w:t>
      </w:r>
      <w:r>
        <w:rPr>
          <w:rFonts w:hint="eastAsia" w:ascii="仿宋_GB2312" w:eastAsia="仿宋_GB2312"/>
          <w:color w:val="auto"/>
          <w:spacing w:val="0"/>
          <w:sz w:val="32"/>
          <w:szCs w:val="32"/>
          <w:highlight w:val="none"/>
          <w:lang w:eastAsia="zh-CN"/>
        </w:rPr>
        <w:t>为了更客观、准确、真实的反应新疆科技报社相关支出，依据政府收支分类科目相关说明，</w:t>
      </w:r>
      <w:r>
        <w:rPr>
          <w:rFonts w:hint="eastAsia" w:ascii="仿宋_GB2312" w:eastAsia="仿宋_GB2312"/>
          <w:color w:val="auto"/>
          <w:spacing w:val="0"/>
          <w:sz w:val="32"/>
          <w:szCs w:val="32"/>
          <w:highlight w:val="none"/>
          <w:lang w:val="en-US" w:eastAsia="zh-CN"/>
        </w:rPr>
        <w:t>2023</w:t>
      </w:r>
      <w:r>
        <w:rPr>
          <w:rFonts w:hint="eastAsia" w:ascii="仿宋_GB2312" w:eastAsia="仿宋_GB2312"/>
          <w:color w:val="auto"/>
          <w:spacing w:val="0"/>
          <w:sz w:val="32"/>
          <w:szCs w:val="32"/>
          <w:highlight w:val="none"/>
          <w:lang w:eastAsia="zh-CN"/>
        </w:rPr>
        <w:t>年新疆科技报社将社会保障和就业支出由原使用功能科目</w:t>
      </w:r>
      <w:r>
        <w:rPr>
          <w:rFonts w:hint="eastAsia" w:ascii="仿宋_GB2312" w:eastAsia="仿宋_GB2312"/>
          <w:color w:val="auto"/>
          <w:spacing w:val="0"/>
          <w:sz w:val="32"/>
          <w:szCs w:val="32"/>
          <w:highlight w:val="none"/>
          <w:lang w:val="en-US" w:eastAsia="zh-CN"/>
        </w:rPr>
        <w:t>2080506</w:t>
      </w:r>
      <w:r>
        <w:rPr>
          <w:rFonts w:hint="eastAsia" w:ascii="仿宋_GB2312" w:eastAsia="仿宋_GB2312"/>
          <w:color w:val="auto"/>
          <w:spacing w:val="0"/>
          <w:sz w:val="32"/>
          <w:szCs w:val="32"/>
          <w:highlight w:val="none"/>
          <w:lang w:eastAsia="zh-CN"/>
        </w:rPr>
        <w:t>机关事业单位职业年金缴费支出变更为</w:t>
      </w:r>
      <w:r>
        <w:rPr>
          <w:rFonts w:hint="eastAsia" w:ascii="仿宋_GB2312" w:eastAsia="仿宋_GB2312"/>
          <w:color w:val="auto"/>
          <w:spacing w:val="0"/>
          <w:sz w:val="32"/>
          <w:szCs w:val="32"/>
          <w:highlight w:val="none"/>
          <w:lang w:val="en-US" w:eastAsia="zh-CN"/>
        </w:rPr>
        <w:t>2070605出版发行</w:t>
      </w:r>
      <w:r>
        <w:rPr>
          <w:rFonts w:hint="eastAsia" w:ascii="仿宋_GB2312" w:eastAsia="仿宋_GB2312"/>
          <w:color w:val="auto"/>
          <w:spacing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val="zh-CN" w:eastAsia="zh-CN"/>
        </w:rPr>
      </w:pPr>
      <w:r>
        <w:rPr>
          <w:rFonts w:hint="eastAsia" w:ascii="仿宋_GB2312" w:eastAsia="仿宋_GB2312"/>
          <w:color w:val="auto"/>
          <w:spacing w:val="0"/>
          <w:sz w:val="32"/>
          <w:szCs w:val="32"/>
          <w:highlight w:val="none"/>
          <w:lang w:val="en-US" w:eastAsia="zh-CN"/>
        </w:rPr>
        <w:t>7.社会保障和就业支出（类）行政事业单位养老支出（款）机关事业单位基本养老保险缴费支出（项）:支出决算数为0.00万元，比上年决算减少46.20万元，下降100%，主要原因是：</w:t>
      </w:r>
      <w:r>
        <w:rPr>
          <w:rFonts w:hint="eastAsia" w:ascii="仿宋_GB2312" w:eastAsia="仿宋_GB2312"/>
          <w:color w:val="auto"/>
          <w:spacing w:val="0"/>
          <w:sz w:val="32"/>
          <w:szCs w:val="32"/>
          <w:highlight w:val="none"/>
          <w:lang w:eastAsia="zh-CN"/>
        </w:rPr>
        <w:t>为了更客观、准确、真实的反应新疆科技报社相关支出，依据政府收支分类科目相关说明，</w:t>
      </w:r>
      <w:r>
        <w:rPr>
          <w:rFonts w:hint="eastAsia" w:ascii="仿宋_GB2312" w:eastAsia="仿宋_GB2312"/>
          <w:color w:val="auto"/>
          <w:spacing w:val="0"/>
          <w:sz w:val="32"/>
          <w:szCs w:val="32"/>
          <w:highlight w:val="none"/>
          <w:lang w:val="en-US" w:eastAsia="zh-CN"/>
        </w:rPr>
        <w:t>2023</w:t>
      </w:r>
      <w:r>
        <w:rPr>
          <w:rFonts w:hint="eastAsia" w:ascii="仿宋_GB2312" w:eastAsia="仿宋_GB2312"/>
          <w:color w:val="auto"/>
          <w:spacing w:val="0"/>
          <w:sz w:val="32"/>
          <w:szCs w:val="32"/>
          <w:highlight w:val="none"/>
          <w:lang w:eastAsia="zh-CN"/>
        </w:rPr>
        <w:t>年新疆科技报社将社会保障和就业支出由原使用功能科目</w:t>
      </w:r>
      <w:r>
        <w:rPr>
          <w:rFonts w:hint="eastAsia" w:ascii="仿宋_GB2312" w:eastAsia="仿宋_GB2312"/>
          <w:color w:val="auto"/>
          <w:spacing w:val="0"/>
          <w:sz w:val="32"/>
          <w:szCs w:val="32"/>
          <w:highlight w:val="none"/>
          <w:lang w:val="en-US" w:eastAsia="zh-CN"/>
        </w:rPr>
        <w:t>2080505</w:t>
      </w:r>
      <w:r>
        <w:rPr>
          <w:rFonts w:hint="eastAsia" w:ascii="仿宋_GB2312" w:eastAsia="仿宋_GB2312"/>
          <w:color w:val="auto"/>
          <w:spacing w:val="0"/>
          <w:sz w:val="32"/>
          <w:szCs w:val="32"/>
          <w:highlight w:val="none"/>
          <w:lang w:eastAsia="zh-CN"/>
        </w:rPr>
        <w:t>机关事业单位基本养老保险缴费支出变更为</w:t>
      </w:r>
      <w:r>
        <w:rPr>
          <w:rFonts w:hint="eastAsia" w:ascii="仿宋_GB2312" w:eastAsia="仿宋_GB2312"/>
          <w:color w:val="auto"/>
          <w:spacing w:val="0"/>
          <w:sz w:val="32"/>
          <w:szCs w:val="32"/>
          <w:highlight w:val="none"/>
          <w:lang w:val="en-US" w:eastAsia="zh-CN"/>
        </w:rPr>
        <w:t>2070605出版发行</w:t>
      </w:r>
      <w:r>
        <w:rPr>
          <w:rFonts w:hint="eastAsia" w:ascii="仿宋_GB2312" w:eastAsia="仿宋_GB2312"/>
          <w:color w:val="auto"/>
          <w:spacing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2023</w:t>
      </w:r>
      <w:r>
        <w:rPr>
          <w:rFonts w:hint="eastAsia" w:ascii="仿宋_GB2312" w:eastAsia="仿宋_GB2312"/>
          <w:color w:val="auto"/>
          <w:spacing w:val="0"/>
          <w:sz w:val="32"/>
          <w:szCs w:val="32"/>
          <w:highlight w:val="none"/>
          <w:lang w:eastAsia="zh-CN"/>
        </w:rPr>
        <w:t>年度一般公共预算财政拨款基本支出</w:t>
      </w:r>
      <w:r>
        <w:rPr>
          <w:rFonts w:hint="eastAsia" w:ascii="仿宋_GB2312" w:eastAsia="仿宋_GB2312"/>
          <w:color w:val="auto"/>
          <w:spacing w:val="0"/>
          <w:sz w:val="32"/>
          <w:szCs w:val="32"/>
          <w:highlight w:val="none"/>
          <w:lang w:val="en-US" w:eastAsia="zh-CN"/>
        </w:rPr>
        <w:t>627.74</w:t>
      </w:r>
      <w:r>
        <w:rPr>
          <w:rFonts w:hint="eastAsia" w:ascii="仿宋_GB2312" w:eastAsia="仿宋_GB2312"/>
          <w:color w:val="auto"/>
          <w:spacing w:val="0"/>
          <w:sz w:val="32"/>
          <w:szCs w:val="32"/>
          <w:highlight w:val="none"/>
          <w:lang w:eastAsia="zh-CN"/>
        </w:rPr>
        <w:t>万元，其中：人员经费</w:t>
      </w:r>
      <w:r>
        <w:rPr>
          <w:rFonts w:hint="eastAsia" w:ascii="仿宋_GB2312" w:eastAsia="仿宋_GB2312"/>
          <w:color w:val="auto"/>
          <w:spacing w:val="0"/>
          <w:sz w:val="32"/>
          <w:szCs w:val="32"/>
          <w:highlight w:val="none"/>
          <w:lang w:val="en-US" w:eastAsia="zh-CN"/>
        </w:rPr>
        <w:t>584.74</w:t>
      </w:r>
      <w:r>
        <w:rPr>
          <w:rFonts w:hint="eastAsia" w:ascii="仿宋_GB2312" w:eastAsia="仿宋_GB2312"/>
          <w:color w:val="auto"/>
          <w:spacing w:val="0"/>
          <w:sz w:val="32"/>
          <w:szCs w:val="32"/>
          <w:highlight w:val="none"/>
          <w:lang w:eastAsia="zh-CN"/>
        </w:rPr>
        <w:t>万元，包括：</w:t>
      </w:r>
      <w:r>
        <w:rPr>
          <w:rFonts w:hint="eastAsia" w:ascii="仿宋_GB2312" w:eastAsia="仿宋_GB2312"/>
          <w:color w:val="auto"/>
          <w:spacing w:val="0"/>
          <w:sz w:val="32"/>
          <w:szCs w:val="32"/>
          <w:highlight w:val="none"/>
          <w:lang w:val="en-US" w:eastAsia="zh-CN"/>
        </w:rPr>
        <w:t>基本工资、津贴补贴、奖金、绩效工资、机关事业单位基本养老保险缴费、职业年金缴费、职工基本医疗保险缴费、公务员医疗补助缴费、其他社会保障缴费、住房公积金、退休费、生活补助、奖励金、其他对个人和家庭的补助。</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公用经费</w:t>
      </w:r>
      <w:r>
        <w:rPr>
          <w:rFonts w:hint="eastAsia" w:ascii="仿宋_GB2312" w:eastAsia="仿宋_GB2312"/>
          <w:color w:val="auto"/>
          <w:spacing w:val="0"/>
          <w:sz w:val="32"/>
          <w:szCs w:val="32"/>
          <w:highlight w:val="none"/>
          <w:lang w:val="en-US" w:eastAsia="zh-CN"/>
        </w:rPr>
        <w:t>43.00</w:t>
      </w:r>
      <w:r>
        <w:rPr>
          <w:rFonts w:hint="eastAsia" w:ascii="仿宋_GB2312" w:eastAsia="仿宋_GB2312"/>
          <w:color w:val="auto"/>
          <w:spacing w:val="0"/>
          <w:sz w:val="32"/>
          <w:szCs w:val="32"/>
          <w:highlight w:val="none"/>
          <w:lang w:eastAsia="zh-CN"/>
        </w:rPr>
        <w:t>万元，包括：</w:t>
      </w:r>
      <w:r>
        <w:rPr>
          <w:rFonts w:hint="eastAsia" w:ascii="仿宋_GB2312" w:eastAsia="仿宋_GB2312"/>
          <w:color w:val="auto"/>
          <w:spacing w:val="0"/>
          <w:sz w:val="32"/>
          <w:szCs w:val="32"/>
          <w:highlight w:val="none"/>
          <w:lang w:val="en-US" w:eastAsia="zh-CN"/>
        </w:rPr>
        <w:t>办公费、水费、电费、邮电费、取暖费、物业管理费、差旅费、工会经费、福利费、公务用车运行维护费、其他商品和服务支出。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val="zh-CN" w:eastAsia="zh-CN"/>
        </w:rPr>
      </w:pPr>
      <w:r>
        <w:rPr>
          <w:rFonts w:hint="eastAsia" w:ascii="仿宋_GB2312" w:eastAsia="仿宋_GB2312"/>
          <w:color w:val="auto"/>
          <w:spacing w:val="0"/>
          <w:sz w:val="32"/>
          <w:szCs w:val="32"/>
          <w:highlight w:val="none"/>
          <w:lang w:val="zh-CN" w:eastAsia="zh-CN"/>
        </w:rPr>
        <w:t>2023年度</w:t>
      </w:r>
      <w:r>
        <w:rPr>
          <w:rFonts w:hint="eastAsia" w:ascii="仿宋_GB2312" w:eastAsia="仿宋_GB2312"/>
          <w:color w:val="auto"/>
          <w:spacing w:val="0"/>
          <w:sz w:val="32"/>
          <w:szCs w:val="32"/>
          <w:highlight w:val="none"/>
          <w:lang w:val="en-US" w:eastAsia="zh-CN"/>
        </w:rPr>
        <w:t>财政拨款</w:t>
      </w:r>
      <w:r>
        <w:rPr>
          <w:rFonts w:hint="eastAsia" w:ascii="仿宋_GB2312" w:eastAsia="仿宋_GB2312"/>
          <w:color w:val="auto"/>
          <w:spacing w:val="0"/>
          <w:sz w:val="32"/>
          <w:szCs w:val="32"/>
          <w:highlight w:val="none"/>
          <w:lang w:val="zh-CN" w:eastAsia="zh-CN"/>
        </w:rPr>
        <w:t>“三公”经费支出1.70万元，</w:t>
      </w:r>
      <w:r>
        <w:rPr>
          <w:rFonts w:hint="eastAsia" w:ascii="仿宋_GB2312" w:eastAsia="仿宋_GB2312"/>
          <w:color w:val="auto"/>
          <w:spacing w:val="0"/>
          <w:sz w:val="32"/>
          <w:szCs w:val="32"/>
          <w:highlight w:val="none"/>
          <w:lang w:val="en-US" w:eastAsia="zh-CN"/>
        </w:rPr>
        <w:t>比上年</w:t>
      </w:r>
      <w:r>
        <w:rPr>
          <w:rFonts w:hint="eastAsia" w:ascii="仿宋_GB2312" w:eastAsia="仿宋_GB2312"/>
          <w:color w:val="auto"/>
          <w:spacing w:val="0"/>
          <w:sz w:val="32"/>
          <w:szCs w:val="32"/>
          <w:highlight w:val="none"/>
          <w:lang w:val="zh-CN" w:eastAsia="zh-CN"/>
        </w:rPr>
        <w:t>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pacing w:val="0"/>
          <w:sz w:val="32"/>
          <w:szCs w:val="32"/>
          <w:highlight w:val="none"/>
          <w:lang w:val="zh-CN" w:eastAsia="zh-CN"/>
        </w:rPr>
        <w:t>主要原因是：</w:t>
      </w:r>
      <w:r>
        <w:rPr>
          <w:rFonts w:hint="eastAsia" w:ascii="仿宋_GB2312" w:eastAsia="仿宋_GB2312"/>
          <w:color w:val="auto"/>
          <w:spacing w:val="0"/>
          <w:sz w:val="32"/>
          <w:szCs w:val="32"/>
          <w:highlight w:val="none"/>
          <w:lang w:eastAsia="zh-CN"/>
        </w:rPr>
        <w:t>严格控制“三公”经费支出，“三公”经费支出与上年持平</w:t>
      </w:r>
      <w:r>
        <w:rPr>
          <w:rFonts w:hint="eastAsia" w:ascii="仿宋_GB2312" w:eastAsia="仿宋_GB2312"/>
          <w:color w:val="auto"/>
          <w:spacing w:val="0"/>
          <w:sz w:val="32"/>
          <w:szCs w:val="32"/>
          <w:highlight w:val="none"/>
          <w:lang w:val="zh-CN" w:eastAsia="zh-CN"/>
        </w:rPr>
        <w:t>。其中：因公出国（境）费支出0.00万元，占0.00%，比上年增加0.00万元，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pacing w:val="0"/>
          <w:sz w:val="32"/>
          <w:szCs w:val="32"/>
          <w:highlight w:val="none"/>
          <w:lang w:val="zh-CN" w:eastAsia="zh-CN"/>
        </w:rPr>
        <w:t>主要原因是：</w:t>
      </w:r>
      <w:r>
        <w:rPr>
          <w:rFonts w:hint="eastAsia" w:ascii="仿宋_GB2312" w:eastAsia="仿宋_GB2312"/>
          <w:color w:val="auto"/>
          <w:spacing w:val="0"/>
          <w:sz w:val="32"/>
          <w:szCs w:val="32"/>
          <w:highlight w:val="none"/>
          <w:lang w:eastAsia="zh-CN"/>
        </w:rPr>
        <w:t>我单位无因公出国（境）费</w:t>
      </w:r>
      <w:r>
        <w:rPr>
          <w:rFonts w:hint="eastAsia" w:ascii="仿宋_GB2312" w:eastAsia="仿宋_GB2312"/>
          <w:color w:val="auto"/>
          <w:spacing w:val="0"/>
          <w:sz w:val="32"/>
          <w:szCs w:val="32"/>
          <w:highlight w:val="none"/>
          <w:lang w:val="zh-CN" w:eastAsia="zh-CN"/>
        </w:rPr>
        <w:t>；公务用车购置及运行维护费支出1.70万元，占100.00%，比上年增加0.00万元，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pacing w:val="0"/>
          <w:sz w:val="32"/>
          <w:szCs w:val="32"/>
          <w:highlight w:val="none"/>
          <w:lang w:val="zh-CN" w:eastAsia="zh-CN"/>
        </w:rPr>
        <w:t>主要原因是：</w:t>
      </w:r>
      <w:r>
        <w:rPr>
          <w:rFonts w:hint="eastAsia" w:ascii="仿宋_GB2312" w:eastAsia="仿宋_GB2312"/>
          <w:color w:val="auto"/>
          <w:spacing w:val="0"/>
          <w:sz w:val="32"/>
          <w:szCs w:val="32"/>
          <w:highlight w:val="none"/>
          <w:lang w:eastAsia="zh-CN"/>
        </w:rPr>
        <w:t>严格控制公务用车运行经费支出，公务用车运行经费与上年持平</w:t>
      </w:r>
      <w:r>
        <w:rPr>
          <w:rFonts w:hint="eastAsia" w:ascii="仿宋_GB2312" w:eastAsia="仿宋_GB2312"/>
          <w:color w:val="auto"/>
          <w:spacing w:val="0"/>
          <w:sz w:val="32"/>
          <w:szCs w:val="32"/>
          <w:highlight w:val="none"/>
          <w:lang w:val="zh-CN" w:eastAsia="zh-CN"/>
        </w:rPr>
        <w:t>；公务接待费支出0.00万元，占0.00%，比上年增加0.00万元，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pacing w:val="0"/>
          <w:sz w:val="32"/>
          <w:szCs w:val="32"/>
          <w:highlight w:val="none"/>
          <w:lang w:val="zh-CN" w:eastAsia="zh-CN"/>
        </w:rPr>
        <w:t>主要原因是：</w:t>
      </w:r>
      <w:r>
        <w:rPr>
          <w:rFonts w:hint="eastAsia" w:ascii="仿宋_GB2312" w:eastAsia="仿宋_GB2312"/>
          <w:color w:val="auto"/>
          <w:spacing w:val="0"/>
          <w:sz w:val="32"/>
          <w:szCs w:val="32"/>
          <w:highlight w:val="none"/>
          <w:lang w:eastAsia="zh-CN"/>
        </w:rPr>
        <w:t>我单位无公务接待费</w:t>
      </w:r>
      <w:r>
        <w:rPr>
          <w:rFonts w:hint="eastAsia" w:ascii="仿宋_GB2312" w:eastAsia="仿宋_GB2312"/>
          <w:color w:val="auto"/>
          <w:spacing w:val="0"/>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val="zh-CN" w:eastAsia="zh-CN"/>
        </w:rPr>
      </w:pPr>
      <w:r>
        <w:rPr>
          <w:rFonts w:hint="eastAsia" w:ascii="仿宋_GB2312" w:eastAsia="仿宋_GB2312"/>
          <w:color w:val="auto"/>
          <w:spacing w:val="0"/>
          <w:sz w:val="32"/>
          <w:szCs w:val="32"/>
          <w:highlight w:val="none"/>
          <w:lang w:val="zh-CN" w:eastAsia="zh-CN"/>
        </w:rPr>
        <w:t>具体情况如下：</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val="zh-CN" w:eastAsia="zh-CN"/>
        </w:rPr>
      </w:pPr>
      <w:r>
        <w:rPr>
          <w:rFonts w:hint="eastAsia" w:ascii="仿宋_GB2312" w:eastAsia="仿宋_GB2312"/>
          <w:color w:val="auto"/>
          <w:spacing w:val="0"/>
          <w:sz w:val="32"/>
          <w:szCs w:val="32"/>
          <w:highlight w:val="none"/>
          <w:lang w:val="zh-CN" w:eastAsia="zh-CN"/>
        </w:rPr>
        <w:t>因公出国（境）费支出0.00万元，开支内容包括</w:t>
      </w:r>
      <w:r>
        <w:rPr>
          <w:rFonts w:hint="eastAsia" w:ascii="仿宋_GB2312" w:eastAsia="仿宋_GB2312"/>
          <w:color w:val="auto"/>
          <w:spacing w:val="0"/>
          <w:sz w:val="32"/>
          <w:szCs w:val="32"/>
          <w:highlight w:val="none"/>
          <w:lang w:eastAsia="zh-CN"/>
        </w:rPr>
        <w:t>我单位无因公出国（境）费</w:t>
      </w:r>
      <w:r>
        <w:rPr>
          <w:rFonts w:hint="eastAsia" w:ascii="仿宋_GB2312" w:eastAsia="仿宋_GB2312"/>
          <w:color w:val="auto"/>
          <w:spacing w:val="0"/>
          <w:sz w:val="32"/>
          <w:szCs w:val="32"/>
          <w:highlight w:val="none"/>
          <w:lang w:val="zh-CN" w:eastAsia="zh-CN"/>
        </w:rPr>
        <w:t>。单位全年安排的因公出国（境）团组0个，因公出国（境）0人次。</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zh-CN" w:eastAsia="zh-CN"/>
        </w:rPr>
        <w:t>公务用车购置及运行维护费1.70万元，其中：公务用车购置费0.00万元，公务用车运行维护费1.70万元。公务用车运行维护费开支内容包括</w:t>
      </w:r>
      <w:r>
        <w:rPr>
          <w:rFonts w:hint="eastAsia" w:ascii="仿宋_GB2312" w:eastAsia="仿宋_GB2312"/>
          <w:color w:val="auto"/>
          <w:spacing w:val="0"/>
          <w:sz w:val="32"/>
          <w:szCs w:val="32"/>
          <w:highlight w:val="none"/>
          <w:lang w:eastAsia="zh-CN"/>
        </w:rPr>
        <w:t>燃油费、维修保养费、车辆保险费</w:t>
      </w:r>
      <w:r>
        <w:rPr>
          <w:rFonts w:hint="eastAsia" w:ascii="仿宋_GB2312" w:eastAsia="仿宋_GB2312"/>
          <w:color w:val="auto"/>
          <w:spacing w:val="0"/>
          <w:sz w:val="32"/>
          <w:szCs w:val="32"/>
          <w:highlight w:val="none"/>
          <w:lang w:val="zh-CN" w:eastAsia="zh-CN"/>
        </w:rPr>
        <w:t>。公务用车购置数0辆，公务用车保有量2辆。国有资产占用情况</w:t>
      </w:r>
      <w:r>
        <w:rPr>
          <w:rFonts w:hint="eastAsia" w:ascii="仿宋_GB2312" w:eastAsia="仿宋_GB2312"/>
          <w:color w:val="auto"/>
          <w:spacing w:val="0"/>
          <w:sz w:val="32"/>
          <w:szCs w:val="32"/>
          <w:highlight w:val="none"/>
          <w:lang w:val="en-US" w:eastAsia="zh-CN"/>
        </w:rPr>
        <w:t>中固定资产车辆</w:t>
      </w:r>
      <w:r>
        <w:rPr>
          <w:rFonts w:hint="eastAsia" w:ascii="仿宋_GB2312" w:eastAsia="仿宋_GB2312"/>
          <w:color w:val="auto"/>
          <w:spacing w:val="0"/>
          <w:sz w:val="32"/>
          <w:szCs w:val="32"/>
          <w:highlight w:val="none"/>
          <w:lang w:val="zh-CN" w:eastAsia="zh-CN"/>
        </w:rPr>
        <w:t>2辆，</w:t>
      </w:r>
      <w:r>
        <w:rPr>
          <w:rFonts w:hint="eastAsia" w:ascii="仿宋_GB2312" w:eastAsia="仿宋_GB2312"/>
          <w:color w:val="auto"/>
          <w:spacing w:val="0"/>
          <w:sz w:val="32"/>
          <w:szCs w:val="32"/>
          <w:highlight w:val="none"/>
          <w:lang w:val="en-US" w:eastAsia="zh-CN"/>
        </w:rPr>
        <w:t>与</w:t>
      </w:r>
      <w:r>
        <w:rPr>
          <w:rFonts w:hint="eastAsia" w:ascii="仿宋_GB2312" w:eastAsia="仿宋_GB2312"/>
          <w:color w:val="auto"/>
          <w:spacing w:val="0"/>
          <w:sz w:val="32"/>
          <w:szCs w:val="32"/>
          <w:highlight w:val="none"/>
          <w:lang w:val="zh-CN" w:eastAsia="zh-CN"/>
        </w:rPr>
        <w:t>公务用车</w:t>
      </w:r>
      <w:r>
        <w:rPr>
          <w:rFonts w:hint="eastAsia" w:ascii="仿宋_GB2312" w:eastAsia="仿宋_GB2312"/>
          <w:color w:val="auto"/>
          <w:spacing w:val="0"/>
          <w:sz w:val="32"/>
          <w:szCs w:val="32"/>
          <w:highlight w:val="none"/>
          <w:lang w:val="en-US" w:eastAsia="zh-CN"/>
        </w:rPr>
        <w:t>保有量差异</w:t>
      </w:r>
      <w:r>
        <w:rPr>
          <w:rFonts w:hint="eastAsia" w:ascii="仿宋_GB2312" w:eastAsia="仿宋_GB2312"/>
          <w:color w:val="auto"/>
          <w:spacing w:val="0"/>
          <w:sz w:val="32"/>
          <w:szCs w:val="32"/>
          <w:highlight w:val="none"/>
          <w:lang w:val="zh-CN" w:eastAsia="zh-CN"/>
        </w:rPr>
        <w:t>原因是：我单位公务用车保有量与国有资产占用情况</w:t>
      </w:r>
      <w:r>
        <w:rPr>
          <w:rFonts w:hint="eastAsia" w:ascii="仿宋_GB2312" w:eastAsia="仿宋_GB2312"/>
          <w:color w:val="auto"/>
          <w:spacing w:val="0"/>
          <w:sz w:val="32"/>
          <w:szCs w:val="32"/>
          <w:highlight w:val="none"/>
          <w:lang w:val="en-US" w:eastAsia="zh-CN"/>
        </w:rPr>
        <w:t>中固定资产车辆数量一致，无差异</w:t>
      </w:r>
      <w:r>
        <w:rPr>
          <w:rFonts w:hint="eastAsia" w:ascii="仿宋_GB2312" w:eastAsia="仿宋_GB2312"/>
          <w:color w:val="auto"/>
          <w:spacing w:val="0"/>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val="zh-CN" w:eastAsia="zh-CN"/>
        </w:rPr>
      </w:pPr>
      <w:r>
        <w:rPr>
          <w:rFonts w:hint="eastAsia" w:ascii="仿宋_GB2312" w:eastAsia="仿宋_GB2312"/>
          <w:color w:val="auto"/>
          <w:spacing w:val="0"/>
          <w:sz w:val="32"/>
          <w:szCs w:val="32"/>
          <w:highlight w:val="none"/>
          <w:lang w:val="zh-CN" w:eastAsia="zh-CN"/>
        </w:rPr>
        <w:t>公务接待费0.00万元，开支内容包括我单位无公务接待费。单位全年安排的国内公务接待0批次，0人次。</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pacing w:val="0"/>
          <w:sz w:val="32"/>
          <w:szCs w:val="32"/>
          <w:highlight w:val="none"/>
          <w:lang w:val="zh-CN" w:eastAsia="zh-CN"/>
        </w:rPr>
        <w:t>与</w:t>
      </w:r>
      <w:r>
        <w:rPr>
          <w:rFonts w:hint="eastAsia" w:ascii="仿宋_GB2312" w:eastAsia="仿宋_GB2312"/>
          <w:color w:val="auto"/>
          <w:spacing w:val="0"/>
          <w:sz w:val="32"/>
          <w:szCs w:val="32"/>
          <w:highlight w:val="none"/>
          <w:lang w:val="en-US" w:eastAsia="zh-CN"/>
        </w:rPr>
        <w:t>全年</w:t>
      </w:r>
      <w:r>
        <w:rPr>
          <w:rFonts w:hint="eastAsia" w:ascii="仿宋_GB2312" w:eastAsia="仿宋_GB2312"/>
          <w:color w:val="auto"/>
          <w:spacing w:val="0"/>
          <w:sz w:val="32"/>
          <w:szCs w:val="32"/>
          <w:highlight w:val="none"/>
          <w:lang w:val="zh-CN" w:eastAsia="zh-CN"/>
        </w:rPr>
        <w:t>预算相比</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财政拨款“三公”经费支出</w:t>
      </w:r>
      <w:r>
        <w:rPr>
          <w:rFonts w:hint="eastAsia" w:ascii="仿宋_GB2312" w:eastAsia="仿宋_GB2312"/>
          <w:color w:val="auto"/>
          <w:spacing w:val="0"/>
          <w:sz w:val="32"/>
          <w:szCs w:val="32"/>
          <w:highlight w:val="none"/>
          <w:lang w:val="en-US" w:eastAsia="zh-CN"/>
        </w:rPr>
        <w:t>全年</w:t>
      </w:r>
      <w:r>
        <w:rPr>
          <w:rFonts w:hint="eastAsia" w:ascii="仿宋_GB2312" w:eastAsia="仿宋_GB2312"/>
          <w:color w:val="auto"/>
          <w:spacing w:val="0"/>
          <w:sz w:val="32"/>
          <w:szCs w:val="32"/>
          <w:highlight w:val="none"/>
          <w:lang w:val="zh-CN" w:eastAsia="zh-CN"/>
        </w:rPr>
        <w:t>预算数1.70万元，决算数1.70万元，预决算差异率0.00%，主要原因是：</w:t>
      </w:r>
      <w:r>
        <w:rPr>
          <w:rFonts w:hint="eastAsia" w:ascii="仿宋_GB2312" w:eastAsia="仿宋_GB2312"/>
          <w:color w:val="auto"/>
          <w:spacing w:val="0"/>
          <w:sz w:val="32"/>
          <w:szCs w:val="32"/>
          <w:highlight w:val="none"/>
          <w:lang w:eastAsia="zh-CN"/>
        </w:rPr>
        <w:t>严格控制“三公”经费支出，</w:t>
      </w:r>
      <w:r>
        <w:rPr>
          <w:rFonts w:hint="eastAsia" w:ascii="仿宋_GB2312" w:eastAsia="仿宋_GB2312"/>
          <w:color w:val="auto"/>
          <w:spacing w:val="0"/>
          <w:sz w:val="32"/>
          <w:szCs w:val="32"/>
          <w:highlight w:val="none"/>
          <w:u w:val="none"/>
          <w:lang w:eastAsia="zh-CN"/>
        </w:rPr>
        <w:t>“三公”经费支出严格按预算执行</w:t>
      </w:r>
      <w:r>
        <w:rPr>
          <w:rFonts w:hint="eastAsia" w:ascii="仿宋_GB2312" w:eastAsia="仿宋_GB2312"/>
          <w:color w:val="auto"/>
          <w:spacing w:val="0"/>
          <w:sz w:val="32"/>
          <w:szCs w:val="32"/>
          <w:highlight w:val="none"/>
          <w:lang w:val="zh-CN" w:eastAsia="zh-CN"/>
        </w:rPr>
        <w:t>。其中：因公出国（境）费</w:t>
      </w:r>
      <w:r>
        <w:rPr>
          <w:rFonts w:hint="eastAsia" w:ascii="仿宋_GB2312" w:eastAsia="仿宋_GB2312"/>
          <w:color w:val="auto"/>
          <w:spacing w:val="0"/>
          <w:sz w:val="32"/>
          <w:szCs w:val="32"/>
          <w:highlight w:val="none"/>
          <w:lang w:val="en-US" w:eastAsia="zh-CN"/>
        </w:rPr>
        <w:t>全年预算数</w:t>
      </w:r>
      <w:r>
        <w:rPr>
          <w:rFonts w:hint="eastAsia" w:ascii="仿宋_GB2312" w:eastAsia="仿宋_GB2312"/>
          <w:color w:val="auto"/>
          <w:spacing w:val="0"/>
          <w:sz w:val="32"/>
          <w:szCs w:val="32"/>
          <w:highlight w:val="none"/>
          <w:lang w:val="zh-CN" w:eastAsia="zh-CN"/>
        </w:rPr>
        <w:t>0.00万元，决算数0.00万元，预决算差异率0.00%，主要原因是：我单位无因公出国（境）费；公务用车购置费</w:t>
      </w:r>
      <w:r>
        <w:rPr>
          <w:rFonts w:hint="eastAsia" w:ascii="仿宋_GB2312" w:eastAsia="仿宋_GB2312"/>
          <w:color w:val="auto"/>
          <w:spacing w:val="0"/>
          <w:sz w:val="32"/>
          <w:szCs w:val="32"/>
          <w:highlight w:val="none"/>
          <w:lang w:val="en-US" w:eastAsia="zh-CN"/>
        </w:rPr>
        <w:t>全年</w:t>
      </w:r>
      <w:r>
        <w:rPr>
          <w:rFonts w:hint="eastAsia" w:ascii="仿宋_GB2312" w:eastAsia="仿宋_GB2312"/>
          <w:color w:val="auto"/>
          <w:spacing w:val="0"/>
          <w:sz w:val="32"/>
          <w:szCs w:val="32"/>
          <w:highlight w:val="none"/>
          <w:lang w:val="zh-CN" w:eastAsia="zh-CN"/>
        </w:rPr>
        <w:t>预算数0.00万元，决算数0.00万元，预决算差异率0.00%，主要原因是：我单位无公务用车购置费；公务用车运行费</w:t>
      </w:r>
      <w:r>
        <w:rPr>
          <w:rFonts w:hint="eastAsia" w:ascii="仿宋_GB2312" w:eastAsia="仿宋_GB2312"/>
          <w:color w:val="auto"/>
          <w:spacing w:val="0"/>
          <w:sz w:val="32"/>
          <w:szCs w:val="32"/>
          <w:highlight w:val="none"/>
          <w:lang w:val="en-US" w:eastAsia="zh-CN"/>
        </w:rPr>
        <w:t>全年</w:t>
      </w:r>
      <w:r>
        <w:rPr>
          <w:rFonts w:hint="eastAsia" w:ascii="仿宋_GB2312" w:eastAsia="仿宋_GB2312"/>
          <w:color w:val="auto"/>
          <w:spacing w:val="0"/>
          <w:sz w:val="32"/>
          <w:szCs w:val="32"/>
          <w:highlight w:val="none"/>
          <w:lang w:val="zh-CN" w:eastAsia="zh-CN"/>
        </w:rPr>
        <w:t>预算数1.70万元，决算数1.70万元，预决算差异率0.00%，主要原因是：</w:t>
      </w:r>
      <w:r>
        <w:rPr>
          <w:rFonts w:hint="eastAsia" w:ascii="仿宋_GB2312" w:eastAsia="仿宋_GB2312"/>
          <w:color w:val="auto"/>
          <w:spacing w:val="0"/>
          <w:sz w:val="32"/>
          <w:szCs w:val="32"/>
          <w:highlight w:val="none"/>
          <w:u w:val="none"/>
          <w:lang w:eastAsia="zh-CN"/>
        </w:rPr>
        <w:t>严格控制公务用车运行经费支出，公务用车运行经费严格按预算执行</w:t>
      </w:r>
      <w:r>
        <w:rPr>
          <w:rFonts w:hint="eastAsia" w:ascii="仿宋_GB2312" w:eastAsia="仿宋_GB2312"/>
          <w:color w:val="auto"/>
          <w:spacing w:val="0"/>
          <w:sz w:val="32"/>
          <w:szCs w:val="32"/>
          <w:highlight w:val="none"/>
          <w:lang w:val="zh-CN" w:eastAsia="zh-CN"/>
        </w:rPr>
        <w:t>；公务接待费</w:t>
      </w:r>
      <w:r>
        <w:rPr>
          <w:rFonts w:hint="eastAsia" w:ascii="仿宋_GB2312" w:eastAsia="仿宋_GB2312"/>
          <w:color w:val="auto"/>
          <w:spacing w:val="0"/>
          <w:sz w:val="32"/>
          <w:szCs w:val="32"/>
          <w:highlight w:val="none"/>
          <w:lang w:val="en-US" w:eastAsia="zh-CN"/>
        </w:rPr>
        <w:t>全年</w:t>
      </w:r>
      <w:r>
        <w:rPr>
          <w:rFonts w:hint="eastAsia" w:ascii="仿宋_GB2312" w:eastAsia="仿宋_GB2312"/>
          <w:color w:val="auto"/>
          <w:spacing w:val="0"/>
          <w:sz w:val="32"/>
          <w:szCs w:val="32"/>
          <w:highlight w:val="none"/>
          <w:lang w:val="zh-CN" w:eastAsia="zh-CN"/>
        </w:rPr>
        <w:t>预算数0.00万元，决算数0.00万元，预决算差异率0.00%，主要原因是：我单位无公务接待费。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8" w:name="_Toc5810"/>
      <w:bookmarkStart w:id="19" w:name="_Toc7927"/>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我</w:t>
      </w:r>
      <w:r>
        <w:rPr>
          <w:rFonts w:hint="eastAsia" w:ascii="仿宋_GB2312" w:eastAsia="仿宋_GB2312"/>
          <w:color w:val="auto"/>
          <w:spacing w:val="0"/>
          <w:sz w:val="32"/>
          <w:szCs w:val="32"/>
          <w:highlight w:val="none"/>
          <w:lang w:val="en-US" w:eastAsia="zh-CN"/>
        </w:rPr>
        <w:t>单位</w:t>
      </w:r>
      <w:r>
        <w:rPr>
          <w:rFonts w:hint="eastAsia" w:ascii="仿宋_GB2312" w:eastAsia="仿宋_GB2312"/>
          <w:color w:val="auto"/>
          <w:spacing w:val="0"/>
          <w:sz w:val="32"/>
          <w:szCs w:val="32"/>
          <w:highlight w:val="none"/>
          <w:lang w:eastAsia="zh-CN"/>
        </w:rPr>
        <w:t>本年度无政府性基金预算财政拨款收入、支出</w:t>
      </w:r>
      <w:r>
        <w:rPr>
          <w:rFonts w:hint="eastAsia" w:ascii="仿宋_GB2312" w:eastAsia="仿宋_GB2312"/>
          <w:color w:val="auto"/>
          <w:spacing w:val="0"/>
          <w:sz w:val="32"/>
          <w:szCs w:val="32"/>
          <w:highlight w:val="none"/>
          <w:lang w:val="en-US" w:eastAsia="zh-CN"/>
        </w:rPr>
        <w:t>及结转和结余</w:t>
      </w:r>
      <w:r>
        <w:rPr>
          <w:rFonts w:hint="eastAsia" w:ascii="仿宋_GB2312" w:eastAsia="仿宋_GB2312"/>
          <w:color w:val="auto"/>
          <w:spacing w:val="0"/>
          <w:sz w:val="32"/>
          <w:szCs w:val="32"/>
          <w:highlight w:val="none"/>
          <w:lang w:eastAsia="zh-CN"/>
        </w:rPr>
        <w:t>，政府性基金预算财政拨款收入支出决算表为空表。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我</w:t>
      </w:r>
      <w:r>
        <w:rPr>
          <w:rFonts w:hint="eastAsia" w:ascii="仿宋_GB2312" w:eastAsia="仿宋_GB2312"/>
          <w:color w:val="auto"/>
          <w:spacing w:val="0"/>
          <w:sz w:val="32"/>
          <w:szCs w:val="32"/>
          <w:highlight w:val="none"/>
          <w:lang w:val="en-US" w:eastAsia="zh-CN"/>
        </w:rPr>
        <w:t>单位</w:t>
      </w:r>
      <w:r>
        <w:rPr>
          <w:rFonts w:hint="eastAsia" w:ascii="仿宋_GB2312" w:eastAsia="仿宋_GB2312"/>
          <w:color w:val="auto"/>
          <w:spacing w:val="0"/>
          <w:sz w:val="32"/>
          <w:szCs w:val="32"/>
          <w:highlight w:val="none"/>
          <w:lang w:eastAsia="zh-CN"/>
        </w:rPr>
        <w:t>本年度无国有资本经营预算财政拨款收入、支出</w:t>
      </w:r>
      <w:r>
        <w:rPr>
          <w:rFonts w:hint="eastAsia" w:ascii="仿宋_GB2312" w:eastAsia="仿宋_GB2312"/>
          <w:color w:val="auto"/>
          <w:spacing w:val="0"/>
          <w:sz w:val="32"/>
          <w:szCs w:val="32"/>
          <w:highlight w:val="none"/>
          <w:lang w:val="en-US" w:eastAsia="zh-CN"/>
        </w:rPr>
        <w:t>及结转和结余</w:t>
      </w:r>
      <w:r>
        <w:rPr>
          <w:rFonts w:hint="eastAsia" w:ascii="仿宋_GB2312" w:eastAsia="仿宋_GB2312"/>
          <w:color w:val="auto"/>
          <w:spacing w:val="0"/>
          <w:sz w:val="32"/>
          <w:szCs w:val="32"/>
          <w:highlight w:val="none"/>
          <w:lang w:eastAsia="zh-CN"/>
        </w:rPr>
        <w:t>，国有资本经营预算财政拨款收入支出决算表为空表。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0" w:name="_Toc1235"/>
      <w:bookmarkStart w:id="21" w:name="_Toc7314"/>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22" w:name="_Toc14519"/>
      <w:bookmarkStart w:id="23"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val="en-US" w:eastAsia="zh-CN"/>
        </w:rPr>
      </w:pPr>
      <w:bookmarkStart w:id="24" w:name="_Toc227"/>
      <w:bookmarkStart w:id="25" w:name="_Toc26704"/>
      <w:r>
        <w:rPr>
          <w:rFonts w:hint="eastAsia" w:ascii="仿宋_GB2312" w:eastAsia="仿宋_GB2312"/>
          <w:color w:val="auto"/>
          <w:spacing w:val="0"/>
          <w:sz w:val="32"/>
          <w:szCs w:val="32"/>
          <w:highlight w:val="none"/>
          <w:lang w:val="zh-CN" w:eastAsia="zh-CN"/>
        </w:rPr>
        <w:t>2023年度</w:t>
      </w:r>
      <w:r>
        <w:rPr>
          <w:rFonts w:hint="eastAsia" w:ascii="仿宋_GB2312" w:eastAsia="仿宋_GB2312"/>
          <w:color w:val="auto"/>
          <w:spacing w:val="0"/>
          <w:sz w:val="32"/>
          <w:szCs w:val="32"/>
          <w:highlight w:val="none"/>
          <w:lang w:val="en-US" w:eastAsia="zh-CN"/>
        </w:rPr>
        <w:t>新疆科技报社（事业单位）公用经费支出43.00万元，</w:t>
      </w:r>
      <w:r>
        <w:rPr>
          <w:rFonts w:hint="eastAsia" w:ascii="仿宋_GB2312" w:eastAsia="仿宋_GB2312"/>
          <w:color w:val="auto"/>
          <w:spacing w:val="0"/>
          <w:sz w:val="32"/>
          <w:szCs w:val="32"/>
          <w:highlight w:val="none"/>
          <w:lang w:val="zh-CN" w:eastAsia="zh-CN"/>
        </w:rPr>
        <w:t>比上年增加7.83万元，增长22.25%，主要原因是：</w:t>
      </w:r>
      <w:r>
        <w:rPr>
          <w:rFonts w:hint="eastAsia" w:ascii="仿宋_GB2312" w:eastAsia="仿宋_GB2312"/>
          <w:color w:val="auto"/>
          <w:spacing w:val="0"/>
          <w:sz w:val="32"/>
          <w:szCs w:val="32"/>
          <w:highlight w:val="none"/>
          <w:lang w:eastAsia="zh-CN"/>
        </w:rPr>
        <w:t>办公费、取暖费、物业管理费、工会经费、福利费较上年增加</w:t>
      </w:r>
      <w:r>
        <w:rPr>
          <w:rFonts w:hint="eastAsia" w:ascii="仿宋_GB2312" w:eastAsia="仿宋_GB2312"/>
          <w:color w:val="auto"/>
          <w:spacing w:val="0"/>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val="zh-CN" w:eastAsia="zh-CN"/>
        </w:rPr>
      </w:pPr>
      <w:r>
        <w:rPr>
          <w:rFonts w:hint="eastAsia" w:ascii="仿宋_GB2312" w:eastAsia="仿宋_GB2312"/>
          <w:color w:val="auto"/>
          <w:spacing w:val="0"/>
          <w:sz w:val="32"/>
          <w:szCs w:val="32"/>
          <w:highlight w:val="none"/>
          <w:lang w:val="zh-CN" w:eastAsia="zh-CN"/>
        </w:rPr>
        <w:t>2023年度政府采购支出总额105.95万元，其中：政府采购货物支出31.93万元、政府采购工程支出0.00万元、政府采购服务支出74.02万元。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zh-CN" w:eastAsia="zh-CN"/>
        </w:rPr>
        <w:t>授予中小企业合同金额104.93万元，占政府采购支出总额的99.03</w:t>
      </w:r>
      <w:r>
        <w:rPr>
          <w:rFonts w:hint="default" w:ascii="仿宋_GB2312" w:eastAsia="仿宋_GB2312"/>
          <w:color w:val="auto"/>
          <w:spacing w:val="0"/>
          <w:sz w:val="32"/>
          <w:szCs w:val="32"/>
          <w:highlight w:val="none"/>
          <w:lang w:val="zh-CN" w:eastAsia="zh-CN"/>
        </w:rPr>
        <w:t>%</w:t>
      </w:r>
      <w:r>
        <w:rPr>
          <w:rFonts w:hint="eastAsia" w:ascii="仿宋_GB2312" w:eastAsia="仿宋_GB2312"/>
          <w:color w:val="auto"/>
          <w:spacing w:val="0"/>
          <w:sz w:val="32"/>
          <w:szCs w:val="32"/>
          <w:highlight w:val="none"/>
          <w:lang w:val="zh-CN" w:eastAsia="zh-CN"/>
        </w:rPr>
        <w:t>，其中：授予小微企业合同金额104.93万元，占政府采购支出总额的99.03</w:t>
      </w:r>
      <w:r>
        <w:rPr>
          <w:rFonts w:hint="default" w:ascii="仿宋_GB2312" w:eastAsia="仿宋_GB2312"/>
          <w:color w:val="auto"/>
          <w:spacing w:val="0"/>
          <w:sz w:val="32"/>
          <w:szCs w:val="32"/>
          <w:highlight w:val="none"/>
          <w:lang w:val="zh-CN" w:eastAsia="zh-CN"/>
        </w:rPr>
        <w:t>%</w:t>
      </w:r>
      <w:r>
        <w:rPr>
          <w:rFonts w:hint="eastAsia" w:ascii="仿宋_GB2312" w:eastAsia="仿宋_GB2312"/>
          <w:color w:val="auto"/>
          <w:spacing w:val="0"/>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bookmarkStart w:id="26" w:name="_Toc8391"/>
      <w:bookmarkStart w:id="27" w:name="_Toc45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val="zh-CN" w:eastAsia="zh-CN"/>
        </w:rPr>
      </w:pPr>
      <w:r>
        <w:rPr>
          <w:rFonts w:hint="eastAsia" w:ascii="仿宋_GB2312" w:eastAsia="仿宋_GB2312"/>
          <w:color w:val="auto"/>
          <w:spacing w:val="0"/>
          <w:sz w:val="32"/>
          <w:szCs w:val="32"/>
          <w:highlight w:val="none"/>
          <w:lang w:val="en-US" w:eastAsia="zh-CN"/>
        </w:rPr>
        <w:t>截至2023</w:t>
      </w:r>
      <w:r>
        <w:rPr>
          <w:rFonts w:hint="eastAsia" w:ascii="仿宋_GB2312" w:eastAsia="仿宋_GB2312"/>
          <w:color w:val="auto"/>
          <w:spacing w:val="0"/>
          <w:sz w:val="32"/>
          <w:szCs w:val="32"/>
          <w:highlight w:val="none"/>
          <w:lang w:val="zh-CN" w:eastAsia="zh-CN"/>
        </w:rPr>
        <w:t>年</w:t>
      </w:r>
      <w:r>
        <w:rPr>
          <w:rFonts w:hint="eastAsia" w:ascii="仿宋_GB2312" w:eastAsia="仿宋_GB2312"/>
          <w:color w:val="auto"/>
          <w:spacing w:val="0"/>
          <w:sz w:val="32"/>
          <w:szCs w:val="32"/>
          <w:highlight w:val="none"/>
          <w:lang w:val="en-US" w:eastAsia="zh-CN"/>
        </w:rPr>
        <w:t>12月31日</w:t>
      </w:r>
      <w:r>
        <w:rPr>
          <w:rFonts w:hint="eastAsia" w:ascii="仿宋_GB2312" w:eastAsia="仿宋_GB2312"/>
          <w:color w:val="auto"/>
          <w:spacing w:val="0"/>
          <w:sz w:val="32"/>
          <w:szCs w:val="32"/>
          <w:highlight w:val="none"/>
          <w:lang w:val="zh-CN" w:eastAsia="zh-CN"/>
        </w:rPr>
        <w:t>，</w:t>
      </w:r>
      <w:r>
        <w:rPr>
          <w:rFonts w:hint="eastAsia" w:ascii="仿宋_GB2312" w:eastAsia="仿宋_GB2312"/>
          <w:color w:val="auto"/>
          <w:spacing w:val="0"/>
          <w:sz w:val="32"/>
          <w:szCs w:val="32"/>
          <w:highlight w:val="none"/>
          <w:lang w:val="en-US" w:eastAsia="zh-CN"/>
        </w:rPr>
        <w:t>固定资产原值</w:t>
      </w:r>
      <w:r>
        <w:rPr>
          <w:rFonts w:hint="eastAsia" w:ascii="仿宋_GB2312" w:eastAsia="仿宋_GB2312"/>
          <w:color w:val="auto"/>
          <w:spacing w:val="0"/>
          <w:sz w:val="32"/>
          <w:szCs w:val="32"/>
          <w:highlight w:val="none"/>
          <w:lang w:val="zh-CN" w:eastAsia="zh-CN"/>
        </w:rPr>
        <w:t>327.10</w:t>
      </w:r>
      <w:r>
        <w:rPr>
          <w:rFonts w:hint="eastAsia" w:ascii="仿宋_GB2312" w:eastAsia="仿宋_GB2312"/>
          <w:color w:val="auto"/>
          <w:spacing w:val="0"/>
          <w:sz w:val="32"/>
          <w:szCs w:val="32"/>
          <w:highlight w:val="none"/>
          <w:lang w:val="en-US" w:eastAsia="zh-CN"/>
        </w:rPr>
        <w:t>万元，房</w:t>
      </w:r>
      <w:r>
        <w:rPr>
          <w:rFonts w:hint="eastAsia" w:ascii="仿宋_GB2312" w:eastAsia="仿宋_GB2312"/>
          <w:color w:val="auto"/>
          <w:spacing w:val="0"/>
          <w:sz w:val="32"/>
          <w:szCs w:val="32"/>
          <w:highlight w:val="none"/>
          <w:lang w:val="zh-CN" w:eastAsia="zh-CN"/>
        </w:rPr>
        <w:t>屋1265.0平方米，价值49.60万元。车辆2辆，价值39.75万元，其中：副部（省）级及以上领导用车0辆、主要</w:t>
      </w:r>
      <w:r>
        <w:rPr>
          <w:rFonts w:hint="eastAsia" w:ascii="仿宋_GB2312" w:eastAsia="仿宋_GB2312"/>
          <w:color w:val="auto"/>
          <w:spacing w:val="0"/>
          <w:sz w:val="32"/>
          <w:szCs w:val="32"/>
          <w:highlight w:val="none"/>
          <w:lang w:val="en-US" w:eastAsia="zh-CN"/>
        </w:rPr>
        <w:t>负责人</w:t>
      </w:r>
      <w:r>
        <w:rPr>
          <w:rFonts w:hint="eastAsia" w:ascii="仿宋_GB2312" w:eastAsia="仿宋_GB2312"/>
          <w:color w:val="auto"/>
          <w:spacing w:val="0"/>
          <w:sz w:val="32"/>
          <w:szCs w:val="32"/>
          <w:highlight w:val="none"/>
          <w:lang w:val="zh-CN" w:eastAsia="zh-CN"/>
        </w:rPr>
        <w:t>用车0辆、机要通信用车0辆、应急保障用车0辆、执法执勤用车0辆、特种专业技术用车0辆、离退休干部</w:t>
      </w:r>
      <w:r>
        <w:rPr>
          <w:rFonts w:hint="eastAsia" w:ascii="仿宋_GB2312" w:eastAsia="仿宋_GB2312"/>
          <w:color w:val="auto"/>
          <w:spacing w:val="0"/>
          <w:sz w:val="32"/>
          <w:szCs w:val="32"/>
          <w:highlight w:val="none"/>
          <w:lang w:val="en-US" w:eastAsia="zh-CN"/>
        </w:rPr>
        <w:t>服务</w:t>
      </w:r>
      <w:r>
        <w:rPr>
          <w:rFonts w:hint="eastAsia" w:ascii="仿宋_GB2312" w:eastAsia="仿宋_GB2312"/>
          <w:color w:val="auto"/>
          <w:spacing w:val="0"/>
          <w:sz w:val="32"/>
          <w:szCs w:val="32"/>
          <w:highlight w:val="none"/>
          <w:lang w:val="zh-CN" w:eastAsia="zh-CN"/>
        </w:rPr>
        <w:t>用车0辆、其他用车2辆，其他用车主要是：</w:t>
      </w:r>
      <w:r>
        <w:rPr>
          <w:rFonts w:hint="eastAsia" w:ascii="仿宋_GB2312" w:eastAsia="仿宋_GB2312"/>
          <w:color w:val="auto"/>
          <w:spacing w:val="0"/>
          <w:sz w:val="32"/>
          <w:szCs w:val="32"/>
          <w:highlight w:val="none"/>
          <w:lang w:eastAsia="zh-CN"/>
        </w:rPr>
        <w:t>一般公务用车</w:t>
      </w:r>
      <w:r>
        <w:rPr>
          <w:rFonts w:hint="eastAsia" w:ascii="仿宋_GB2312" w:eastAsia="仿宋_GB2312"/>
          <w:color w:val="auto"/>
          <w:spacing w:val="0"/>
          <w:sz w:val="32"/>
          <w:szCs w:val="32"/>
          <w:highlight w:val="none"/>
          <w:lang w:val="zh-CN" w:eastAsia="zh-CN"/>
        </w:rPr>
        <w:t>；单价100万元（含）以上设备（不含车辆）0</w:t>
      </w:r>
      <w:r>
        <w:rPr>
          <w:rFonts w:hint="eastAsia" w:ascii="仿宋_GB2312" w:eastAsia="仿宋_GB2312"/>
          <w:color w:val="auto"/>
          <w:spacing w:val="0"/>
          <w:sz w:val="32"/>
          <w:szCs w:val="32"/>
          <w:highlight w:val="none"/>
          <w:lang w:val="en-US" w:eastAsia="zh-CN"/>
        </w:rPr>
        <w:t>台</w:t>
      </w:r>
      <w:r>
        <w:rPr>
          <w:rFonts w:hint="eastAsia" w:ascii="仿宋_GB2312" w:eastAsia="仿宋_GB2312"/>
          <w:color w:val="auto"/>
          <w:spacing w:val="0"/>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8" w:name="_Toc11283"/>
      <w:bookmarkStart w:id="29" w:name="_Toc4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eastAsia="zh-CN"/>
        </w:rPr>
        <w:t>根据预算绩效管理要求，我</w:t>
      </w:r>
      <w:r>
        <w:rPr>
          <w:rFonts w:hint="eastAsia" w:ascii="仿宋_GB2312" w:eastAsia="仿宋_GB2312"/>
          <w:color w:val="auto"/>
          <w:spacing w:val="0"/>
          <w:sz w:val="32"/>
          <w:szCs w:val="32"/>
          <w:highlight w:val="none"/>
          <w:lang w:val="en-US" w:eastAsia="zh-CN"/>
        </w:rPr>
        <w:t>单位</w:t>
      </w:r>
      <w:r>
        <w:rPr>
          <w:rFonts w:hint="eastAsia" w:ascii="仿宋_GB2312" w:eastAsia="仿宋_GB2312"/>
          <w:color w:val="auto"/>
          <w:spacing w:val="0"/>
          <w:sz w:val="32"/>
          <w:szCs w:val="32"/>
          <w:highlight w:val="none"/>
          <w:lang w:eastAsia="zh-CN"/>
        </w:rPr>
        <w:t>2023年度预算绩效管理整体支出绩效自评表</w:t>
      </w:r>
      <w:r>
        <w:rPr>
          <w:rFonts w:hint="eastAsia" w:ascii="仿宋_GB2312" w:eastAsia="仿宋_GB2312"/>
          <w:color w:val="auto"/>
          <w:spacing w:val="0"/>
          <w:sz w:val="32"/>
          <w:szCs w:val="32"/>
          <w:highlight w:val="none"/>
          <w:lang w:val="en-US" w:eastAsia="zh-CN"/>
        </w:rPr>
        <w:t>0个，全年预算总额0万元，实际执行总额0万元，我单位整体支出绩效自评是由自治区科技厅（部门）完成；预算绩效评价</w:t>
      </w:r>
      <w:r>
        <w:rPr>
          <w:rFonts w:hint="eastAsia" w:ascii="仿宋_GB2312" w:eastAsia="仿宋_GB2312"/>
          <w:color w:val="auto"/>
          <w:spacing w:val="0"/>
          <w:sz w:val="32"/>
          <w:szCs w:val="32"/>
          <w:highlight w:val="none"/>
          <w:lang w:eastAsia="zh-CN"/>
        </w:rPr>
        <w:t>项目</w:t>
      </w:r>
      <w:r>
        <w:rPr>
          <w:rFonts w:hint="eastAsia" w:ascii="仿宋_GB2312" w:eastAsia="仿宋_GB2312"/>
          <w:color w:val="auto"/>
          <w:spacing w:val="0"/>
          <w:sz w:val="32"/>
          <w:szCs w:val="32"/>
          <w:highlight w:val="none"/>
          <w:lang w:val="en-US" w:eastAsia="zh-CN"/>
        </w:rPr>
        <w:t>3</w:t>
      </w:r>
      <w:r>
        <w:rPr>
          <w:rFonts w:hint="eastAsia" w:ascii="仿宋_GB2312" w:eastAsia="仿宋_GB2312"/>
          <w:color w:val="auto"/>
          <w:spacing w:val="0"/>
          <w:sz w:val="32"/>
          <w:szCs w:val="32"/>
          <w:highlight w:val="none"/>
          <w:lang w:eastAsia="zh-CN"/>
        </w:rPr>
        <w:t>个，</w:t>
      </w:r>
      <w:r>
        <w:rPr>
          <w:rFonts w:hint="eastAsia" w:ascii="仿宋_GB2312" w:eastAsia="仿宋_GB2312"/>
          <w:color w:val="auto"/>
          <w:spacing w:val="0"/>
          <w:sz w:val="32"/>
          <w:szCs w:val="32"/>
          <w:highlight w:val="none"/>
          <w:lang w:val="en-US" w:eastAsia="zh-CN"/>
        </w:rPr>
        <w:t>全年预算数267</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全年执行数246.83</w:t>
      </w:r>
      <w:r>
        <w:rPr>
          <w:rFonts w:hint="eastAsia" w:ascii="仿宋_GB2312" w:eastAsia="仿宋_GB2312"/>
          <w:color w:val="auto"/>
          <w:spacing w:val="0"/>
          <w:sz w:val="32"/>
          <w:szCs w:val="32"/>
          <w:highlight w:val="none"/>
          <w:lang w:eastAsia="zh-CN"/>
        </w:rPr>
        <w:t>万元。预算绩效管理取得的成效：一是保质保量完成了</w:t>
      </w:r>
      <w:r>
        <w:rPr>
          <w:rFonts w:hint="eastAsia" w:ascii="仿宋_GB2312" w:eastAsia="仿宋_GB2312"/>
          <w:color w:val="auto"/>
          <w:spacing w:val="0"/>
          <w:sz w:val="32"/>
          <w:szCs w:val="32"/>
          <w:highlight w:val="none"/>
          <w:lang w:val="en-US" w:eastAsia="zh-CN"/>
        </w:rPr>
        <w:t>2023</w:t>
      </w:r>
      <w:r>
        <w:rPr>
          <w:rFonts w:hint="eastAsia" w:ascii="仿宋_GB2312" w:eastAsia="仿宋_GB2312"/>
          <w:color w:val="auto"/>
          <w:spacing w:val="0"/>
          <w:sz w:val="32"/>
          <w:szCs w:val="32"/>
          <w:highlight w:val="none"/>
          <w:lang w:eastAsia="zh-CN"/>
        </w:rPr>
        <w:t>年《新疆科技报》汉文、维文、哈文三种文版的印刷；二是及时准确的宣传党的方针政策；三是普及科学技术知识，推广先进技术，使农民在认识和学习先进技术的过程中，通过潜移默化，而受到科学文明生产氛围和科学文明社会环境的陶冶，进而提高自身的科学文化素质，使农牧民实现科技致富，助力实施乡村振兴战略。发现的问题及原因：一是近些年伴随互联网技术的发展及移动终端的普及，信息传播渠道更加快速和多元，在新媒体的冲击下，传统的报纸竞争优势下降；二是报纸针对的群体主要是农牧民，公益性强，经营创收能力较差。下一步改进措施：一是加快报网融合，不断加强融媒体平台建设，提高信息传播时效性，提升报纸的影响力和竞争力</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pacing w:val="0"/>
          <w:sz w:val="32"/>
          <w:szCs w:val="32"/>
          <w:highlight w:val="none"/>
          <w:lang w:eastAsia="zh-CN"/>
        </w:rPr>
        <w:t>二是重视栏目策划，保住传统报纸系列报道的优势，为报纸行业发展赢得更大的发展空间。具体项目自评情况附项目支出绩效自评表。</w:t>
      </w:r>
      <w:bookmarkStart w:id="48" w:name="_GoBack"/>
      <w:bookmarkEnd w:id="48"/>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本单位无其他需说明事项。</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30" w:name="_Toc24143"/>
      <w:bookmarkStart w:id="31" w:name="_Toc3250"/>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pPr>
        <w:ind w:firstLine="640" w:firstLineChars="200"/>
        <w:jc w:val="center"/>
        <w:outlineLvl w:val="0"/>
        <w:rPr>
          <w:rFonts w:ascii="黑体" w:hAnsi="黑体" w:eastAsia="黑体"/>
          <w:sz w:val="32"/>
          <w:szCs w:val="32"/>
        </w:rPr>
      </w:pPr>
      <w:r>
        <w:rPr>
          <w:rFonts w:hint="eastAsia" w:ascii="仿宋_GB2312" w:eastAsia="仿宋_GB2312"/>
          <w:color w:val="auto"/>
          <w:sz w:val="32"/>
          <w:szCs w:val="32"/>
          <w:highlight w:val="none"/>
        </w:rPr>
        <w:br w:type="page"/>
      </w:r>
      <w:r>
        <w:rPr>
          <w:rFonts w:hint="eastAsia" w:ascii="黑体" w:hAnsi="黑体" w:eastAsia="黑体"/>
          <w:sz w:val="32"/>
          <w:szCs w:val="32"/>
        </w:rPr>
        <w:t>第四部分 部门决算报表（见附表）</w:t>
      </w:r>
    </w:p>
    <w:p>
      <w:pPr>
        <w:ind w:firstLine="640" w:firstLineChars="200"/>
        <w:outlineLvl w:val="1"/>
        <w:rPr>
          <w:rFonts w:ascii="黑体" w:hAnsi="黑体" w:eastAsia="仿宋_GB2312" w:cs="宋体"/>
          <w:bCs/>
          <w:kern w:val="0"/>
          <w:sz w:val="32"/>
          <w:szCs w:val="32"/>
        </w:rPr>
      </w:pPr>
      <w:bookmarkStart w:id="32" w:name="_Toc6062"/>
      <w:bookmarkStart w:id="33" w:name="_Toc2183"/>
      <w:r>
        <w:rPr>
          <w:rFonts w:hint="eastAsia" w:ascii="黑体" w:hAnsi="黑体" w:eastAsia="仿宋_GB2312" w:cs="宋体"/>
          <w:bCs/>
          <w:kern w:val="0"/>
          <w:sz w:val="32"/>
          <w:szCs w:val="32"/>
        </w:rPr>
        <w:t>一、《收入支出决算总表》</w:t>
      </w:r>
      <w:bookmarkEnd w:id="32"/>
      <w:bookmarkEnd w:id="33"/>
    </w:p>
    <w:p>
      <w:pPr>
        <w:ind w:firstLine="640" w:firstLineChars="200"/>
        <w:outlineLvl w:val="1"/>
        <w:rPr>
          <w:rFonts w:ascii="黑体" w:hAnsi="黑体" w:eastAsia="仿宋_GB2312" w:cs="宋体"/>
          <w:bCs/>
          <w:kern w:val="0"/>
          <w:sz w:val="32"/>
          <w:szCs w:val="32"/>
        </w:rPr>
      </w:pPr>
      <w:bookmarkStart w:id="34" w:name="_Toc30364"/>
      <w:bookmarkStart w:id="35" w:name="_Toc24532"/>
      <w:r>
        <w:rPr>
          <w:rFonts w:hint="eastAsia" w:ascii="黑体" w:hAnsi="黑体" w:eastAsia="仿宋_GB2312" w:cs="宋体"/>
          <w:bCs/>
          <w:kern w:val="0"/>
          <w:sz w:val="32"/>
          <w:szCs w:val="32"/>
        </w:rPr>
        <w:t>二、《收入决算表》</w:t>
      </w:r>
      <w:bookmarkEnd w:id="34"/>
      <w:bookmarkEnd w:id="35"/>
    </w:p>
    <w:p>
      <w:pPr>
        <w:ind w:firstLine="640" w:firstLineChars="200"/>
        <w:outlineLvl w:val="1"/>
        <w:rPr>
          <w:rFonts w:ascii="黑体" w:hAnsi="黑体" w:eastAsia="仿宋_GB2312" w:cs="宋体"/>
          <w:bCs/>
          <w:kern w:val="0"/>
          <w:sz w:val="32"/>
          <w:szCs w:val="32"/>
        </w:rPr>
      </w:pPr>
      <w:bookmarkStart w:id="36" w:name="_Toc21304"/>
      <w:bookmarkStart w:id="37" w:name="_Toc32434"/>
      <w:r>
        <w:rPr>
          <w:rFonts w:hint="eastAsia" w:ascii="黑体" w:hAnsi="黑体" w:eastAsia="仿宋_GB2312" w:cs="宋体"/>
          <w:bCs/>
          <w:kern w:val="0"/>
          <w:sz w:val="32"/>
          <w:szCs w:val="32"/>
        </w:rPr>
        <w:t>三、《支出决算表》</w:t>
      </w:r>
      <w:bookmarkEnd w:id="36"/>
      <w:bookmarkEnd w:id="37"/>
    </w:p>
    <w:p>
      <w:pPr>
        <w:ind w:firstLine="640" w:firstLineChars="200"/>
        <w:outlineLvl w:val="1"/>
        <w:rPr>
          <w:rFonts w:ascii="黑体" w:hAnsi="黑体" w:eastAsia="仿宋_GB2312" w:cs="宋体"/>
          <w:bCs/>
          <w:kern w:val="0"/>
          <w:sz w:val="32"/>
          <w:szCs w:val="32"/>
        </w:rPr>
      </w:pPr>
      <w:bookmarkStart w:id="38" w:name="_Toc28786"/>
      <w:bookmarkStart w:id="39" w:name="_Toc14238"/>
      <w:r>
        <w:rPr>
          <w:rFonts w:hint="eastAsia" w:ascii="黑体" w:hAnsi="黑体" w:eastAsia="仿宋_GB2312" w:cs="宋体"/>
          <w:bCs/>
          <w:kern w:val="0"/>
          <w:sz w:val="32"/>
          <w:szCs w:val="32"/>
        </w:rPr>
        <w:t>四、《财政拨款收入支出决算总表》</w:t>
      </w:r>
      <w:bookmarkEnd w:id="38"/>
      <w:bookmarkEnd w:id="39"/>
    </w:p>
    <w:p>
      <w:pPr>
        <w:ind w:firstLine="640" w:firstLineChars="200"/>
        <w:outlineLvl w:val="1"/>
        <w:rPr>
          <w:rFonts w:ascii="黑体" w:hAnsi="黑体" w:eastAsia="仿宋_GB2312" w:cs="宋体"/>
          <w:bCs/>
          <w:kern w:val="0"/>
          <w:sz w:val="32"/>
          <w:szCs w:val="32"/>
        </w:rPr>
      </w:pPr>
      <w:bookmarkStart w:id="40" w:name="_Toc14869"/>
      <w:bookmarkStart w:id="41" w:name="_Toc10347"/>
      <w:r>
        <w:rPr>
          <w:rFonts w:hint="eastAsia" w:ascii="黑体" w:hAnsi="黑体" w:eastAsia="仿宋_GB2312" w:cs="宋体"/>
          <w:bCs/>
          <w:kern w:val="0"/>
          <w:sz w:val="32"/>
          <w:szCs w:val="32"/>
        </w:rPr>
        <w:t>五、《一般公共预算财政拨款支出决算表》</w:t>
      </w:r>
      <w:bookmarkEnd w:id="40"/>
      <w:bookmarkEnd w:id="41"/>
    </w:p>
    <w:p>
      <w:pPr>
        <w:ind w:firstLine="640" w:firstLineChars="200"/>
        <w:outlineLvl w:val="1"/>
        <w:rPr>
          <w:rFonts w:ascii="黑体" w:hAnsi="黑体" w:eastAsia="仿宋_GB2312" w:cs="宋体"/>
          <w:bCs/>
          <w:kern w:val="0"/>
          <w:sz w:val="32"/>
          <w:szCs w:val="32"/>
        </w:rPr>
      </w:pPr>
      <w:bookmarkStart w:id="42" w:name="_Toc8884"/>
      <w:bookmarkStart w:id="43" w:name="_Toc5626"/>
      <w:r>
        <w:rPr>
          <w:rFonts w:hint="eastAsia" w:ascii="黑体" w:hAnsi="黑体" w:eastAsia="仿宋_GB2312" w:cs="宋体"/>
          <w:bCs/>
          <w:kern w:val="0"/>
          <w:sz w:val="32"/>
          <w:szCs w:val="32"/>
        </w:rPr>
        <w:t>六、《一般公共预算财政拨款基本支出决算表》</w:t>
      </w:r>
      <w:bookmarkEnd w:id="42"/>
      <w:bookmarkEnd w:id="43"/>
    </w:p>
    <w:p>
      <w:pPr>
        <w:ind w:firstLine="640" w:firstLineChars="200"/>
        <w:outlineLvl w:val="1"/>
        <w:rPr>
          <w:rFonts w:ascii="黑体" w:hAnsi="黑体" w:eastAsia="仿宋_GB2312" w:cs="宋体"/>
          <w:bCs/>
          <w:kern w:val="0"/>
          <w:sz w:val="32"/>
          <w:szCs w:val="32"/>
        </w:rPr>
      </w:pPr>
      <w:r>
        <w:rPr>
          <w:rFonts w:hint="eastAsia" w:ascii="黑体" w:hAnsi="黑体" w:eastAsia="仿宋_GB2312" w:cs="宋体"/>
          <w:bCs/>
          <w:kern w:val="0"/>
          <w:sz w:val="32"/>
          <w:szCs w:val="32"/>
        </w:rPr>
        <w:t>七、</w:t>
      </w:r>
      <w:bookmarkStart w:id="44" w:name="_Toc32663"/>
      <w:bookmarkStart w:id="45" w:name="_Toc29106"/>
      <w:r>
        <w:rPr>
          <w:rFonts w:hint="eastAsia" w:ascii="黑体" w:hAnsi="黑体" w:eastAsia="仿宋_GB2312" w:cs="宋体"/>
          <w:bCs/>
          <w:kern w:val="0"/>
          <w:sz w:val="32"/>
          <w:szCs w:val="32"/>
        </w:rPr>
        <w:t>《财政拨款“三公”经费支出决算表》</w:t>
      </w:r>
      <w:bookmarkEnd w:id="44"/>
      <w:bookmarkEnd w:id="45"/>
    </w:p>
    <w:p>
      <w:pPr>
        <w:ind w:firstLine="640" w:firstLineChars="200"/>
        <w:outlineLvl w:val="1"/>
        <w:rPr>
          <w:rFonts w:ascii="黑体" w:hAnsi="黑体" w:eastAsia="仿宋_GB2312" w:cs="宋体"/>
          <w:bCs/>
          <w:kern w:val="0"/>
          <w:sz w:val="32"/>
          <w:szCs w:val="32"/>
        </w:rPr>
      </w:pPr>
      <w:bookmarkStart w:id="46" w:name="_Toc5453"/>
      <w:bookmarkStart w:id="47" w:name="_Toc7643"/>
      <w:r>
        <w:rPr>
          <w:rFonts w:hint="eastAsia" w:ascii="黑体" w:hAnsi="黑体" w:eastAsia="仿宋_GB2312" w:cs="宋体"/>
          <w:bCs/>
          <w:kern w:val="0"/>
          <w:sz w:val="32"/>
          <w:szCs w:val="32"/>
        </w:rPr>
        <w:t>八、《政府性基金预算财政拨款收入支出决算表》</w:t>
      </w:r>
      <w:bookmarkEnd w:id="46"/>
      <w:bookmarkEnd w:id="47"/>
    </w:p>
    <w:p>
      <w:pPr>
        <w:ind w:firstLine="640" w:firstLineChars="200"/>
        <w:outlineLvl w:val="1"/>
        <w:rPr>
          <w:rFonts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1"/>
        <w:rPr>
          <w:rFonts w:hint="eastAsia"/>
          <w:lang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RjMmFjNjM2MzNmODM5NjNlNDBhNDNiYmZkNTQ1N2IifQ=="/>
    <w:docVar w:name="KSO_WPS_MARK_KEY" w:val="41ee2a61-2d54-4f93-83be-afdb9a40d732"/>
  </w:docVars>
  <w:rsids>
    <w:rsidRoot w:val="00172A27"/>
    <w:rsid w:val="00213C59"/>
    <w:rsid w:val="003210CE"/>
    <w:rsid w:val="00B70D59"/>
    <w:rsid w:val="00F52A8D"/>
    <w:rsid w:val="019404F8"/>
    <w:rsid w:val="02514522"/>
    <w:rsid w:val="02BD3108"/>
    <w:rsid w:val="02F73D26"/>
    <w:rsid w:val="034D4FEF"/>
    <w:rsid w:val="035D1785"/>
    <w:rsid w:val="039F47CE"/>
    <w:rsid w:val="03E05CE8"/>
    <w:rsid w:val="03F973EE"/>
    <w:rsid w:val="043E5B56"/>
    <w:rsid w:val="04C04386"/>
    <w:rsid w:val="04D96608"/>
    <w:rsid w:val="04FA68C4"/>
    <w:rsid w:val="053F5AE6"/>
    <w:rsid w:val="057C0B0F"/>
    <w:rsid w:val="05EF4B48"/>
    <w:rsid w:val="05F76ECA"/>
    <w:rsid w:val="06792773"/>
    <w:rsid w:val="07093795"/>
    <w:rsid w:val="07804730"/>
    <w:rsid w:val="079052BE"/>
    <w:rsid w:val="08145C21"/>
    <w:rsid w:val="08422688"/>
    <w:rsid w:val="085854ED"/>
    <w:rsid w:val="0879188F"/>
    <w:rsid w:val="08A0354D"/>
    <w:rsid w:val="08CD4C49"/>
    <w:rsid w:val="09114954"/>
    <w:rsid w:val="091552D0"/>
    <w:rsid w:val="095A5B83"/>
    <w:rsid w:val="096466E3"/>
    <w:rsid w:val="0968304D"/>
    <w:rsid w:val="09AF3D17"/>
    <w:rsid w:val="09B21785"/>
    <w:rsid w:val="0A7809B7"/>
    <w:rsid w:val="0A7B4867"/>
    <w:rsid w:val="0A840954"/>
    <w:rsid w:val="0A9928ED"/>
    <w:rsid w:val="0AC46F66"/>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4C69F3"/>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7657F"/>
    <w:rsid w:val="14B932DA"/>
    <w:rsid w:val="14D517A8"/>
    <w:rsid w:val="150A66AF"/>
    <w:rsid w:val="154C1139"/>
    <w:rsid w:val="158C5B77"/>
    <w:rsid w:val="160D1149"/>
    <w:rsid w:val="163563C0"/>
    <w:rsid w:val="164315EF"/>
    <w:rsid w:val="16557DFE"/>
    <w:rsid w:val="166B69E6"/>
    <w:rsid w:val="167268FB"/>
    <w:rsid w:val="16770D0A"/>
    <w:rsid w:val="16D50C50"/>
    <w:rsid w:val="16E120E1"/>
    <w:rsid w:val="17385A05"/>
    <w:rsid w:val="173B3901"/>
    <w:rsid w:val="176747F9"/>
    <w:rsid w:val="17954A6E"/>
    <w:rsid w:val="180059E9"/>
    <w:rsid w:val="184510FD"/>
    <w:rsid w:val="190648B0"/>
    <w:rsid w:val="19071D6C"/>
    <w:rsid w:val="192B605C"/>
    <w:rsid w:val="19D26CD4"/>
    <w:rsid w:val="19E60D19"/>
    <w:rsid w:val="1A3E3450"/>
    <w:rsid w:val="1A7202FA"/>
    <w:rsid w:val="1AD807E5"/>
    <w:rsid w:val="1B39345B"/>
    <w:rsid w:val="1B695A45"/>
    <w:rsid w:val="1BFB2A1F"/>
    <w:rsid w:val="1C015D4A"/>
    <w:rsid w:val="1C290ED5"/>
    <w:rsid w:val="1C317E4F"/>
    <w:rsid w:val="1C472464"/>
    <w:rsid w:val="1D22799A"/>
    <w:rsid w:val="1D5C1A72"/>
    <w:rsid w:val="1DAF458D"/>
    <w:rsid w:val="1E086ACE"/>
    <w:rsid w:val="1E62130A"/>
    <w:rsid w:val="1E97358B"/>
    <w:rsid w:val="1EAA4A5F"/>
    <w:rsid w:val="1EE869A7"/>
    <w:rsid w:val="1FA15E62"/>
    <w:rsid w:val="1FED69B6"/>
    <w:rsid w:val="2064678E"/>
    <w:rsid w:val="207C351B"/>
    <w:rsid w:val="20DC1AB9"/>
    <w:rsid w:val="20DD6197"/>
    <w:rsid w:val="212631E0"/>
    <w:rsid w:val="21A53757"/>
    <w:rsid w:val="221236C6"/>
    <w:rsid w:val="22D7662C"/>
    <w:rsid w:val="23326B7F"/>
    <w:rsid w:val="2380045B"/>
    <w:rsid w:val="23BA1BE8"/>
    <w:rsid w:val="23BC04D2"/>
    <w:rsid w:val="23EF1892"/>
    <w:rsid w:val="2483647E"/>
    <w:rsid w:val="24A32D55"/>
    <w:rsid w:val="25292727"/>
    <w:rsid w:val="252E5CA9"/>
    <w:rsid w:val="256F7692"/>
    <w:rsid w:val="25BA2154"/>
    <w:rsid w:val="25C8773F"/>
    <w:rsid w:val="264A7253"/>
    <w:rsid w:val="26BB15BD"/>
    <w:rsid w:val="26F0170C"/>
    <w:rsid w:val="27201D62"/>
    <w:rsid w:val="27286E73"/>
    <w:rsid w:val="27CF2642"/>
    <w:rsid w:val="27E777F5"/>
    <w:rsid w:val="27EA1D4C"/>
    <w:rsid w:val="27EA2E41"/>
    <w:rsid w:val="282459E2"/>
    <w:rsid w:val="283A7FE5"/>
    <w:rsid w:val="285F51FF"/>
    <w:rsid w:val="28DF2665"/>
    <w:rsid w:val="28DF7FBB"/>
    <w:rsid w:val="29072599"/>
    <w:rsid w:val="291029F3"/>
    <w:rsid w:val="29CB58F0"/>
    <w:rsid w:val="2A053397"/>
    <w:rsid w:val="2A145E96"/>
    <w:rsid w:val="2A2131BB"/>
    <w:rsid w:val="2AF5378F"/>
    <w:rsid w:val="2BB94DBF"/>
    <w:rsid w:val="2C6F314E"/>
    <w:rsid w:val="2CC206BE"/>
    <w:rsid w:val="2D1136DF"/>
    <w:rsid w:val="2D20606D"/>
    <w:rsid w:val="2DB87198"/>
    <w:rsid w:val="2DB93C54"/>
    <w:rsid w:val="2E3D144C"/>
    <w:rsid w:val="2E891204"/>
    <w:rsid w:val="2ED0745D"/>
    <w:rsid w:val="2F3F0A28"/>
    <w:rsid w:val="2FBF7029"/>
    <w:rsid w:val="2FD0187F"/>
    <w:rsid w:val="2FD27414"/>
    <w:rsid w:val="2FFE4BB0"/>
    <w:rsid w:val="300E7B60"/>
    <w:rsid w:val="300F6E18"/>
    <w:rsid w:val="30862F5F"/>
    <w:rsid w:val="314029C9"/>
    <w:rsid w:val="31C63837"/>
    <w:rsid w:val="31C82E39"/>
    <w:rsid w:val="32601BAD"/>
    <w:rsid w:val="329F6389"/>
    <w:rsid w:val="3389023A"/>
    <w:rsid w:val="33CB74FA"/>
    <w:rsid w:val="343642F2"/>
    <w:rsid w:val="343F3010"/>
    <w:rsid w:val="345D0A00"/>
    <w:rsid w:val="34713BFD"/>
    <w:rsid w:val="34C13589"/>
    <w:rsid w:val="353369E3"/>
    <w:rsid w:val="35E00D72"/>
    <w:rsid w:val="36965B9D"/>
    <w:rsid w:val="36BC0A05"/>
    <w:rsid w:val="36C549FD"/>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B6F0EE8"/>
    <w:rsid w:val="3C0E3448"/>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9E0771"/>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34E6957"/>
    <w:rsid w:val="437A3BAA"/>
    <w:rsid w:val="43BA0E31"/>
    <w:rsid w:val="43C15147"/>
    <w:rsid w:val="43E14DD2"/>
    <w:rsid w:val="43F800E9"/>
    <w:rsid w:val="443A7E4B"/>
    <w:rsid w:val="448C7EBE"/>
    <w:rsid w:val="45294080"/>
    <w:rsid w:val="452F5B3A"/>
    <w:rsid w:val="454E7FD2"/>
    <w:rsid w:val="46061BDC"/>
    <w:rsid w:val="461404F8"/>
    <w:rsid w:val="46413018"/>
    <w:rsid w:val="464B7E04"/>
    <w:rsid w:val="46555168"/>
    <w:rsid w:val="468041AA"/>
    <w:rsid w:val="468123C6"/>
    <w:rsid w:val="46901EEE"/>
    <w:rsid w:val="469C74D2"/>
    <w:rsid w:val="47445515"/>
    <w:rsid w:val="474B4782"/>
    <w:rsid w:val="47D90D14"/>
    <w:rsid w:val="48387FB0"/>
    <w:rsid w:val="483A6114"/>
    <w:rsid w:val="488727DB"/>
    <w:rsid w:val="48B82268"/>
    <w:rsid w:val="48C354B3"/>
    <w:rsid w:val="493D58B5"/>
    <w:rsid w:val="494A7A04"/>
    <w:rsid w:val="4A0A26D2"/>
    <w:rsid w:val="4A2019A5"/>
    <w:rsid w:val="4A241A0B"/>
    <w:rsid w:val="4A7B2875"/>
    <w:rsid w:val="4A934476"/>
    <w:rsid w:val="4AAA220A"/>
    <w:rsid w:val="4AE12E67"/>
    <w:rsid w:val="4B4C0111"/>
    <w:rsid w:val="4B8553A9"/>
    <w:rsid w:val="4BDB3730"/>
    <w:rsid w:val="4C1C049B"/>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25C687F"/>
    <w:rsid w:val="52F647F7"/>
    <w:rsid w:val="52F92565"/>
    <w:rsid w:val="531620E8"/>
    <w:rsid w:val="53D03877"/>
    <w:rsid w:val="542F73CA"/>
    <w:rsid w:val="5430786D"/>
    <w:rsid w:val="545A1D2A"/>
    <w:rsid w:val="54C811C0"/>
    <w:rsid w:val="54D51055"/>
    <w:rsid w:val="556A442D"/>
    <w:rsid w:val="55DA564E"/>
    <w:rsid w:val="5604127D"/>
    <w:rsid w:val="56166703"/>
    <w:rsid w:val="561F7505"/>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A60780B"/>
    <w:rsid w:val="5AB34579"/>
    <w:rsid w:val="5AFC6609"/>
    <w:rsid w:val="5B113480"/>
    <w:rsid w:val="5BD456CE"/>
    <w:rsid w:val="5C0D1F49"/>
    <w:rsid w:val="5CBB0CE2"/>
    <w:rsid w:val="5CC17177"/>
    <w:rsid w:val="5CF306BC"/>
    <w:rsid w:val="5D3F3D64"/>
    <w:rsid w:val="5D833043"/>
    <w:rsid w:val="5DD92690"/>
    <w:rsid w:val="5DDB1CFD"/>
    <w:rsid w:val="5E7E6D93"/>
    <w:rsid w:val="5EB33E4F"/>
    <w:rsid w:val="5ED44800"/>
    <w:rsid w:val="5F350BDE"/>
    <w:rsid w:val="5F61632C"/>
    <w:rsid w:val="5FA17648"/>
    <w:rsid w:val="5FE705CB"/>
    <w:rsid w:val="603D5080"/>
    <w:rsid w:val="60D0261B"/>
    <w:rsid w:val="618E3791"/>
    <w:rsid w:val="61947DCA"/>
    <w:rsid w:val="61A46A97"/>
    <w:rsid w:val="61D1382F"/>
    <w:rsid w:val="61D5074A"/>
    <w:rsid w:val="61F114A2"/>
    <w:rsid w:val="62512BB4"/>
    <w:rsid w:val="625D7D1A"/>
    <w:rsid w:val="62DD7D21"/>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B68175F"/>
    <w:rsid w:val="6BFD799F"/>
    <w:rsid w:val="6C4A2E5A"/>
    <w:rsid w:val="6C8138D0"/>
    <w:rsid w:val="6CEF0725"/>
    <w:rsid w:val="6D4B2604"/>
    <w:rsid w:val="6D8030E4"/>
    <w:rsid w:val="6DCE71F3"/>
    <w:rsid w:val="6E0E35C4"/>
    <w:rsid w:val="6E0F7A08"/>
    <w:rsid w:val="6E3947F5"/>
    <w:rsid w:val="6E9C74ED"/>
    <w:rsid w:val="6EF72976"/>
    <w:rsid w:val="6F795A80"/>
    <w:rsid w:val="6F7C1D2E"/>
    <w:rsid w:val="6F8E0407"/>
    <w:rsid w:val="6FDD069F"/>
    <w:rsid w:val="6FEB0F4B"/>
    <w:rsid w:val="702B4D16"/>
    <w:rsid w:val="70AA6621"/>
    <w:rsid w:val="7111480F"/>
    <w:rsid w:val="71261F49"/>
    <w:rsid w:val="712E6956"/>
    <w:rsid w:val="71473612"/>
    <w:rsid w:val="7150010B"/>
    <w:rsid w:val="71504F32"/>
    <w:rsid w:val="7152309F"/>
    <w:rsid w:val="718F7F65"/>
    <w:rsid w:val="71F370EC"/>
    <w:rsid w:val="727B234E"/>
    <w:rsid w:val="72D068C7"/>
    <w:rsid w:val="72E42ED8"/>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B940CF"/>
    <w:rsid w:val="77ED6F44"/>
    <w:rsid w:val="77F45548"/>
    <w:rsid w:val="784E7CA6"/>
    <w:rsid w:val="78574801"/>
    <w:rsid w:val="7873527F"/>
    <w:rsid w:val="790A6425"/>
    <w:rsid w:val="790E2D96"/>
    <w:rsid w:val="791B54B2"/>
    <w:rsid w:val="795A0A34"/>
    <w:rsid w:val="797339C3"/>
    <w:rsid w:val="79D57D57"/>
    <w:rsid w:val="79F00650"/>
    <w:rsid w:val="7A6242BF"/>
    <w:rsid w:val="7A794513"/>
    <w:rsid w:val="7A845CD4"/>
    <w:rsid w:val="7AE952D2"/>
    <w:rsid w:val="7C7248A0"/>
    <w:rsid w:val="7C976D69"/>
    <w:rsid w:val="7CD752DA"/>
    <w:rsid w:val="7CDE40AB"/>
    <w:rsid w:val="7CF057E2"/>
    <w:rsid w:val="7D1548B5"/>
    <w:rsid w:val="7D7653AD"/>
    <w:rsid w:val="7DF84014"/>
    <w:rsid w:val="7E207949"/>
    <w:rsid w:val="7E5C0A47"/>
    <w:rsid w:val="7E670C75"/>
    <w:rsid w:val="7EE24272"/>
    <w:rsid w:val="7EEA6053"/>
    <w:rsid w:val="7F487C04"/>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next w:val="1"/>
    <w:qFormat/>
    <w:uiPriority w:val="0"/>
    <w:pPr>
      <w:widowControl/>
      <w:spacing w:before="100" w:beforeAutospacing="1" w:after="100" w:afterAutospacing="1"/>
      <w:jc w:val="left"/>
    </w:pPr>
    <w:rPr>
      <w:rFonts w:ascii="宋体" w:hAnsi="宋体" w:cs="宋体"/>
      <w:kern w:val="0"/>
      <w:sz w:val="24"/>
    </w:rPr>
  </w:style>
  <w:style w:type="paragraph" w:styleId="4">
    <w:name w:val="Body Text Indent"/>
    <w:basedOn w:val="1"/>
    <w:next w:val="3"/>
    <w:qFormat/>
    <w:uiPriority w:val="0"/>
    <w:pPr>
      <w:spacing w:after="120"/>
      <w:ind w:left="420" w:leftChars="200"/>
    </w:pPr>
    <w:rPr>
      <w:rFonts w:ascii="Times New Roman" w:hAnsi="Times New Roman"/>
      <w:kern w:val="0"/>
      <w:sz w:val="20"/>
      <w:szCs w:val="20"/>
    </w:rPr>
  </w:style>
  <w:style w:type="paragraph" w:styleId="5">
    <w:name w:val="toc 3"/>
    <w:basedOn w:val="1"/>
    <w:next w:val="1"/>
    <w:qFormat/>
    <w:uiPriority w:val="0"/>
    <w:pPr>
      <w:ind w:left="840" w:leftChars="400"/>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qFormat/>
    <w:uiPriority w:val="0"/>
  </w:style>
  <w:style w:type="paragraph" w:styleId="9">
    <w:name w:val="toc 2"/>
    <w:basedOn w:val="1"/>
    <w:next w:val="1"/>
    <w:qFormat/>
    <w:uiPriority w:val="0"/>
    <w:pPr>
      <w:ind w:left="420" w:leftChars="200"/>
    </w:pPr>
  </w:style>
  <w:style w:type="paragraph" w:styleId="10">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1">
    <w:name w:val="Body Text First Indent 2"/>
    <w:basedOn w:val="4"/>
    <w:next w:val="1"/>
    <w:qFormat/>
    <w:uiPriority w:val="0"/>
    <w:pPr>
      <w:spacing w:after="0"/>
      <w:ind w:firstLine="420" w:firstLineChars="200"/>
    </w:pPr>
    <w:rPr>
      <w:rFonts w:eastAsia="宋体" w:cs="Times New Roman"/>
      <w:szCs w:val="24"/>
    </w:rPr>
  </w:style>
  <w:style w:type="character" w:styleId="14">
    <w:name w:val="Strong"/>
    <w:basedOn w:val="13"/>
    <w:qFormat/>
    <w:uiPriority w:val="0"/>
    <w:rPr>
      <w:b/>
    </w:rPr>
  </w:style>
  <w:style w:type="paragraph" w:customStyle="1" w:styleId="15">
    <w:name w:val="WPSOffice手动目录 3"/>
    <w:qFormat/>
    <w:uiPriority w:val="0"/>
    <w:pPr>
      <w:ind w:leftChars="400"/>
    </w:pPr>
    <w:rPr>
      <w:rFonts w:ascii="Times New Roman" w:hAnsi="Times New Roman" w:eastAsia="宋体" w:cs="Times New Roman"/>
      <w:sz w:val="20"/>
      <w:szCs w:val="20"/>
    </w:rPr>
  </w:style>
  <w:style w:type="paragraph" w:customStyle="1" w:styleId="16">
    <w:name w:val="WPSOffice手动目录 2"/>
    <w:qFormat/>
    <w:uiPriority w:val="0"/>
    <w:pPr>
      <w:ind w:leftChars="200"/>
    </w:pPr>
    <w:rPr>
      <w:rFonts w:ascii="Times New Roman" w:hAnsi="Times New Roman" w:eastAsia="宋体" w:cs="Times New Roman"/>
      <w:sz w:val="20"/>
      <w:szCs w:val="20"/>
    </w:rPr>
  </w:style>
  <w:style w:type="paragraph" w:customStyle="1" w:styleId="17">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5791</Words>
  <Characters>6479</Characters>
  <Lines>0</Lines>
  <Paragraphs>0</Paragraphs>
  <TotalTime>1</TotalTime>
  <ScaleCrop>false</ScaleCrop>
  <LinksUpToDate>false</LinksUpToDate>
  <CharactersWithSpaces>6490</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Administrator</cp:lastModifiedBy>
  <dcterms:modified xsi:type="dcterms:W3CDTF">2024-10-14T05:24:44Z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D624B15633CD43C8BF9435464A96BF70</vt:lpwstr>
  </property>
</Properties>
</file>