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黑体" w:hAnsi="黑体" w:eastAsia="黑体"/>
          <w:sz w:val="44"/>
          <w:szCs w:val="44"/>
        </w:rPr>
      </w:pPr>
      <w:r>
        <w:rPr>
          <w:rFonts w:hint="eastAsia" w:ascii="黑体" w:hAnsi="黑体" w:eastAsia="黑体"/>
          <w:sz w:val="44"/>
          <w:szCs w:val="44"/>
        </w:rPr>
        <w:t>新疆维吾尔自治区药物研究所</w:t>
      </w:r>
    </w:p>
    <w:p>
      <w:pPr>
        <w:jc w:val="center"/>
        <w:rPr>
          <w:rFonts w:ascii="黑体" w:hAnsi="黑体" w:eastAsia="黑体"/>
          <w:sz w:val="44"/>
          <w:szCs w:val="44"/>
        </w:rPr>
      </w:pPr>
      <w:r>
        <w:rPr>
          <w:rFonts w:hint="eastAsia" w:ascii="黑体" w:hAnsi="黑体" w:eastAsia="黑体"/>
          <w:sz w:val="44"/>
          <w:szCs w:val="44"/>
        </w:rPr>
        <w:t xml:space="preserve"> 2023年度部门决算</w:t>
      </w:r>
    </w:p>
    <w:p>
      <w:pPr>
        <w:jc w:val="center"/>
        <w:rPr>
          <w:rFonts w:ascii="黑体" w:hAnsi="黑体" w:eastAsia="黑体"/>
          <w:sz w:val="44"/>
          <w:szCs w:val="44"/>
        </w:rPr>
      </w:pPr>
      <w:r>
        <w:rPr>
          <w:rFonts w:hint="eastAsia" w:ascii="黑体" w:hAnsi="黑体" w:eastAsia="黑体"/>
          <w:sz w:val="44"/>
          <w:szCs w:val="44"/>
        </w:rPr>
        <w:t>公开说明</w:t>
      </w:r>
    </w:p>
    <w:p>
      <w:pPr>
        <w:rPr>
          <w:rFonts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ascii="仿宋" w:hAnsi="仿宋" w:eastAsia="仿宋" w:cs="仿宋_GB2312"/>
          <w:bCs/>
          <w:kern w:val="0"/>
          <w:sz w:val="32"/>
          <w:szCs w:val="32"/>
        </w:rPr>
      </w:pPr>
      <w:r>
        <w:rPr>
          <w:rFonts w:hint="eastAsia" w:ascii="仿宋" w:hAnsi="仿宋" w:eastAsia="仿宋" w:cs="仿宋_GB2312"/>
          <w:b/>
          <w:kern w:val="0"/>
          <w:sz w:val="36"/>
          <w:szCs w:val="36"/>
        </w:rPr>
        <w:t>目  录</w:t>
      </w:r>
    </w:p>
    <w:p>
      <w:pPr>
        <w:pStyle w:val="6"/>
        <w:tabs>
          <w:tab w:val="right" w:pos="8306"/>
        </w:tabs>
        <w:rPr>
          <w:rFonts w:ascii="仿宋" w:hAnsi="仿宋" w:eastAsia="仿宋" w:cs="仿宋_GB2312"/>
          <w:b/>
          <w:bCs/>
          <w:sz w:val="32"/>
          <w:szCs w:val="32"/>
        </w:rPr>
      </w:pPr>
      <w:r>
        <w:rPr>
          <w:rFonts w:hint="eastAsia" w:ascii="仿宋" w:hAnsi="仿宋" w:eastAsia="仿宋" w:cs="仿宋_GB2312"/>
          <w:sz w:val="32"/>
          <w:szCs w:val="32"/>
        </w:rPr>
        <w:fldChar w:fldCharType="begin"/>
      </w:r>
      <w:r>
        <w:rPr>
          <w:rFonts w:hint="eastAsia" w:ascii="仿宋" w:hAnsi="仿宋" w:eastAsia="仿宋" w:cs="仿宋_GB2312"/>
          <w:sz w:val="32"/>
          <w:szCs w:val="32"/>
        </w:rPr>
        <w:instrText xml:space="preserve">TOC \o "1-3" \n  \h \u </w:instrText>
      </w:r>
      <w:r>
        <w:rPr>
          <w:rFonts w:hint="eastAsia" w:ascii="仿宋" w:hAnsi="仿宋" w:eastAsia="仿宋" w:cs="仿宋_GB2312"/>
          <w:sz w:val="32"/>
          <w:szCs w:val="32"/>
        </w:rPr>
        <w:fldChar w:fldCharType="separate"/>
      </w:r>
      <w:r>
        <w:fldChar w:fldCharType="begin"/>
      </w:r>
      <w:r>
        <w:instrText xml:space="preserve"> HYPERLINK \l "_Toc32314" </w:instrText>
      </w:r>
      <w:r>
        <w:fldChar w:fldCharType="separate"/>
      </w:r>
      <w:r>
        <w:rPr>
          <w:rFonts w:hint="eastAsia" w:ascii="仿宋" w:hAnsi="仿宋" w:eastAsia="仿宋" w:cs="仿宋_GB2312"/>
          <w:b/>
          <w:bCs/>
          <w:sz w:val="32"/>
          <w:szCs w:val="32"/>
        </w:rPr>
        <w:t>第一部分 单位概况</w:t>
      </w:r>
      <w:r>
        <w:rPr>
          <w:rFonts w:hint="eastAsia" w:ascii="仿宋" w:hAnsi="仿宋" w:eastAsia="仿宋" w:cs="仿宋_GB2312"/>
          <w:b/>
          <w:bCs/>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"_Toc30567" </w:instrText>
      </w:r>
      <w:r>
        <w:fldChar w:fldCharType="separate"/>
      </w:r>
      <w:r>
        <w:rPr>
          <w:rFonts w:hint="eastAsia" w:ascii="仿宋" w:hAnsi="仿宋" w:eastAsia="仿宋" w:cs="仿宋_GB2312"/>
          <w:bCs/>
          <w:kern w:val="0"/>
          <w:sz w:val="32"/>
          <w:szCs w:val="32"/>
        </w:rPr>
        <w:t>一、主要职能</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"_Toc2151" </w:instrText>
      </w:r>
      <w:r>
        <w:fldChar w:fldCharType="separate"/>
      </w:r>
      <w:r>
        <w:rPr>
          <w:rFonts w:hint="eastAsia" w:ascii="仿宋" w:hAnsi="仿宋" w:eastAsia="仿宋" w:cs="仿宋_GB2312"/>
          <w:bCs/>
          <w:kern w:val="0"/>
          <w:sz w:val="32"/>
          <w:szCs w:val="32"/>
        </w:rPr>
        <w:t>二、机构设置及人员情况</w:t>
      </w:r>
      <w:r>
        <w:rPr>
          <w:rFonts w:hint="eastAsia" w:ascii="仿宋" w:hAnsi="仿宋" w:eastAsia="仿宋" w:cs="仿宋_GB2312"/>
          <w:bCs/>
          <w:kern w:val="0"/>
          <w:sz w:val="32"/>
          <w:szCs w:val="32"/>
        </w:rPr>
        <w:fldChar w:fldCharType="end"/>
      </w:r>
    </w:p>
    <w:p>
      <w:pPr>
        <w:pStyle w:val="6"/>
        <w:tabs>
          <w:tab w:val="right" w:pos="8306"/>
        </w:tabs>
        <w:rPr>
          <w:rFonts w:ascii="仿宋" w:hAnsi="仿宋" w:eastAsia="仿宋" w:cs="仿宋_GB2312"/>
          <w:b/>
          <w:bCs/>
          <w:sz w:val="32"/>
          <w:szCs w:val="32"/>
        </w:rPr>
      </w:pPr>
      <w:r>
        <w:fldChar w:fldCharType="begin"/>
      </w:r>
      <w:r>
        <w:instrText xml:space="preserve"> HYPERLINK \l "_Toc29374" </w:instrText>
      </w:r>
      <w:r>
        <w:fldChar w:fldCharType="separate"/>
      </w:r>
      <w:r>
        <w:rPr>
          <w:rFonts w:hint="eastAsia" w:ascii="仿宋" w:hAnsi="仿宋" w:eastAsia="仿宋" w:cs="仿宋_GB2312"/>
          <w:b/>
          <w:bCs/>
          <w:sz w:val="32"/>
          <w:szCs w:val="32"/>
        </w:rPr>
        <w:t>第二部分 部门决算情况说明</w:t>
      </w:r>
      <w:r>
        <w:rPr>
          <w:rFonts w:hint="eastAsia" w:ascii="仿宋" w:hAnsi="仿宋" w:eastAsia="仿宋" w:cs="仿宋_GB2312"/>
          <w:b/>
          <w:bCs/>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"_Toc25314" </w:instrText>
      </w:r>
      <w:r>
        <w:fldChar w:fldCharType="separate"/>
      </w:r>
      <w:r>
        <w:rPr>
          <w:rFonts w:hint="eastAsia" w:ascii="仿宋" w:hAnsi="仿宋" w:eastAsia="仿宋" w:cs="仿宋_GB2312"/>
          <w:bCs/>
          <w:kern w:val="0"/>
          <w:sz w:val="32"/>
          <w:szCs w:val="32"/>
        </w:rPr>
        <w:t>一、收入支出决算总体情况说明</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"_Toc12142" </w:instrText>
      </w:r>
      <w:r>
        <w:fldChar w:fldCharType="separate"/>
      </w:r>
      <w:r>
        <w:rPr>
          <w:rFonts w:hint="eastAsia" w:ascii="仿宋" w:hAnsi="仿宋" w:eastAsia="仿宋" w:cs="仿宋_GB2312"/>
          <w:bCs/>
          <w:kern w:val="0"/>
          <w:sz w:val="32"/>
          <w:szCs w:val="32"/>
        </w:rPr>
        <w:t>二、收入决算情况说明</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"_Toc13201" </w:instrText>
      </w:r>
      <w:r>
        <w:fldChar w:fldCharType="separate"/>
      </w:r>
      <w:r>
        <w:rPr>
          <w:rFonts w:hint="eastAsia" w:ascii="仿宋" w:hAnsi="仿宋" w:eastAsia="仿宋" w:cs="仿宋_GB2312"/>
          <w:bCs/>
          <w:kern w:val="0"/>
          <w:sz w:val="32"/>
          <w:szCs w:val="32"/>
        </w:rPr>
        <w:t>三、支出决算情况说明</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"_Toc26564" </w:instrText>
      </w:r>
      <w:r>
        <w:fldChar w:fldCharType="separate"/>
      </w:r>
      <w:r>
        <w:rPr>
          <w:rFonts w:hint="eastAsia" w:ascii="仿宋" w:hAnsi="仿宋" w:eastAsia="仿宋" w:cs="仿宋_GB2312"/>
          <w:bCs/>
          <w:kern w:val="0"/>
          <w:sz w:val="32"/>
          <w:szCs w:val="32"/>
        </w:rPr>
        <w:t>四、财政拨款收入支出决算总体情况说明</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"_Toc20360" </w:instrText>
      </w:r>
      <w:r>
        <w:fldChar w:fldCharType="separate"/>
      </w:r>
      <w:r>
        <w:rPr>
          <w:rFonts w:hint="eastAsia" w:ascii="仿宋" w:hAnsi="仿宋" w:eastAsia="仿宋" w:cs="仿宋_GB2312"/>
          <w:bCs/>
          <w:kern w:val="0"/>
          <w:sz w:val="32"/>
          <w:szCs w:val="32"/>
        </w:rPr>
        <w:t>五、一般公共预算财政拨款支出决算情况说明</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"_Toc30870" </w:instrText>
      </w:r>
      <w:r>
        <w:fldChar w:fldCharType="separate"/>
      </w:r>
      <w:r>
        <w:rPr>
          <w:rFonts w:hint="eastAsia" w:ascii="仿宋" w:hAnsi="仿宋" w:eastAsia="仿宋" w:cs="仿宋_GB2312"/>
          <w:bCs/>
          <w:kern w:val="0"/>
          <w:sz w:val="32"/>
          <w:szCs w:val="32"/>
        </w:rPr>
        <w:t>六、一般公共预算财政拨款基本支出决算情况说明</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"_Toc21518" </w:instrText>
      </w:r>
      <w:r>
        <w:fldChar w:fldCharType="separate"/>
      </w:r>
      <w:r>
        <w:rPr>
          <w:rFonts w:hint="eastAsia" w:ascii="仿宋" w:hAnsi="仿宋" w:eastAsia="仿宋" w:cs="仿宋_GB2312"/>
          <w:bCs/>
          <w:kern w:val="0"/>
          <w:sz w:val="32"/>
          <w:szCs w:val="32"/>
        </w:rPr>
        <w:t>七、财政拨款“三公”经费支出决算情况说明</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"_Toc5810" </w:instrText>
      </w:r>
      <w:r>
        <w:fldChar w:fldCharType="separate"/>
      </w:r>
      <w:r>
        <w:rPr>
          <w:rFonts w:hint="eastAsia" w:ascii="仿宋" w:hAnsi="仿宋" w:eastAsia="仿宋" w:cs="仿宋_GB2312"/>
          <w:bCs/>
          <w:kern w:val="0"/>
          <w:sz w:val="32"/>
          <w:szCs w:val="32"/>
        </w:rPr>
        <w:t>八、政府性基金预算财政拨款收入支出决算情况说明</w:t>
      </w:r>
      <w:r>
        <w:rPr>
          <w:rFonts w:hint="eastAsia" w:ascii="仿宋" w:hAnsi="仿宋" w:eastAsia="仿宋" w:cs="仿宋_GB2312"/>
          <w:bCs/>
          <w:kern w:val="0"/>
          <w:sz w:val="32"/>
          <w:szCs w:val="32"/>
        </w:rPr>
        <w:fldChar w:fldCharType="end"/>
      </w:r>
    </w:p>
    <w:p>
      <w:pPr>
        <w:rPr>
          <w:rFonts w:ascii="仿宋" w:hAnsi="仿宋" w:eastAsia="仿宋"/>
        </w:rPr>
      </w:pPr>
      <w:r>
        <w:fldChar w:fldCharType="begin"/>
      </w:r>
      <w:r>
        <w:instrText xml:space="preserve"> HYPERLINK \l "_Toc5810" </w:instrText>
      </w:r>
      <w:r>
        <w:fldChar w:fldCharType="separate"/>
      </w:r>
      <w:r>
        <w:rPr>
          <w:rFonts w:hint="eastAsia" w:ascii="仿宋" w:hAnsi="仿宋" w:eastAsia="仿宋" w:cs="仿宋_GB2312"/>
          <w:bCs/>
          <w:kern w:val="0"/>
          <w:sz w:val="32"/>
          <w:szCs w:val="32"/>
        </w:rPr>
        <w:t>九、国有资本经营预算财政拨款收入支出决算情况说明</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"_Toc1235" </w:instrText>
      </w:r>
      <w:r>
        <w:fldChar w:fldCharType="separate"/>
      </w:r>
      <w:r>
        <w:rPr>
          <w:rFonts w:hint="eastAsia" w:ascii="仿宋" w:hAnsi="仿宋" w:eastAsia="仿宋" w:cs="仿宋_GB2312"/>
          <w:sz w:val="32"/>
          <w:szCs w:val="32"/>
        </w:rPr>
        <w:t>十</w:t>
      </w:r>
      <w:r>
        <w:rPr>
          <w:rFonts w:hint="eastAsia" w:ascii="仿宋" w:hAnsi="仿宋" w:eastAsia="仿宋" w:cs="仿宋_GB2312"/>
          <w:bCs/>
          <w:kern w:val="0"/>
          <w:sz w:val="32"/>
          <w:szCs w:val="32"/>
        </w:rPr>
        <w:t>、其他重要事项的情况说明</w:t>
      </w:r>
      <w:r>
        <w:rPr>
          <w:rFonts w:hint="eastAsia" w:ascii="仿宋" w:hAnsi="仿宋" w:eastAsia="仿宋" w:cs="仿宋_GB2312"/>
          <w:bCs/>
          <w:kern w:val="0"/>
          <w:sz w:val="32"/>
          <w:szCs w:val="32"/>
        </w:rPr>
        <w:fldChar w:fldCharType="end"/>
      </w:r>
    </w:p>
    <w:p>
      <w:pPr>
        <w:pStyle w:val="3"/>
        <w:tabs>
          <w:tab w:val="right" w:pos="8306"/>
        </w:tabs>
        <w:ind w:left="0" w:leftChars="0"/>
        <w:rPr>
          <w:rFonts w:ascii="仿宋" w:hAnsi="仿宋" w:eastAsia="仿宋" w:cs="仿宋_GB2312"/>
          <w:sz w:val="32"/>
          <w:szCs w:val="32"/>
        </w:rPr>
      </w:pPr>
      <w:r>
        <w:fldChar w:fldCharType="begin"/>
      </w:r>
      <w:r>
        <w:instrText xml:space="preserve"> HYPERLINK \l "_Toc14519" </w:instrText>
      </w:r>
      <w:r>
        <w:fldChar w:fldCharType="separate"/>
      </w:r>
      <w:r>
        <w:rPr>
          <w:rFonts w:hint="eastAsia" w:ascii="仿宋" w:hAnsi="仿宋" w:eastAsia="仿宋" w:cs="仿宋_GB2312"/>
          <w:sz w:val="32"/>
          <w:szCs w:val="32"/>
        </w:rPr>
        <w:t>（一）机关运行经费支出情况</w:t>
      </w:r>
      <w:r>
        <w:rPr>
          <w:rFonts w:hint="eastAsia" w:ascii="仿宋" w:hAnsi="仿宋" w:eastAsia="仿宋" w:cs="仿宋_GB2312"/>
          <w:sz w:val="32"/>
          <w:szCs w:val="32"/>
        </w:rPr>
        <w:fldChar w:fldCharType="end"/>
      </w:r>
    </w:p>
    <w:p>
      <w:pPr>
        <w:pStyle w:val="3"/>
        <w:tabs>
          <w:tab w:val="right" w:pos="8306"/>
        </w:tabs>
        <w:ind w:left="0" w:leftChars="0"/>
        <w:rPr>
          <w:rFonts w:ascii="仿宋" w:hAnsi="仿宋" w:eastAsia="仿宋" w:cs="仿宋_GB2312"/>
          <w:sz w:val="32"/>
          <w:szCs w:val="32"/>
        </w:rPr>
      </w:pPr>
      <w:r>
        <w:fldChar w:fldCharType="begin"/>
      </w:r>
      <w:r>
        <w:instrText xml:space="preserve"> HYPERLINK \l "_Toc227" </w:instrText>
      </w:r>
      <w:r>
        <w:fldChar w:fldCharType="separate"/>
      </w:r>
      <w:r>
        <w:rPr>
          <w:rFonts w:hint="eastAsia" w:ascii="仿宋" w:hAnsi="仿宋" w:eastAsia="仿宋" w:cs="仿宋_GB2312"/>
          <w:sz w:val="32"/>
          <w:szCs w:val="32"/>
        </w:rPr>
        <w:t>（二）政府采购情况</w:t>
      </w:r>
      <w:r>
        <w:rPr>
          <w:rFonts w:hint="eastAsia" w:ascii="仿宋" w:hAnsi="仿宋" w:eastAsia="仿宋" w:cs="仿宋_GB2312"/>
          <w:sz w:val="32"/>
          <w:szCs w:val="32"/>
        </w:rPr>
        <w:fldChar w:fldCharType="end"/>
      </w:r>
    </w:p>
    <w:p>
      <w:pPr>
        <w:pStyle w:val="3"/>
        <w:tabs>
          <w:tab w:val="right" w:pos="8306"/>
        </w:tabs>
        <w:ind w:left="0" w:leftChars="0"/>
        <w:rPr>
          <w:rFonts w:ascii="仿宋" w:hAnsi="仿宋" w:eastAsia="仿宋" w:cs="仿宋_GB2312"/>
          <w:sz w:val="32"/>
          <w:szCs w:val="32"/>
        </w:rPr>
      </w:pPr>
      <w:r>
        <w:fldChar w:fldCharType="begin"/>
      </w:r>
      <w:r>
        <w:instrText xml:space="preserve"> HYPERLINK \l "_Toc8391" </w:instrText>
      </w:r>
      <w:r>
        <w:fldChar w:fldCharType="separate"/>
      </w:r>
      <w:r>
        <w:rPr>
          <w:rFonts w:hint="eastAsia" w:ascii="仿宋" w:hAnsi="仿宋" w:eastAsia="仿宋" w:cs="仿宋_GB2312"/>
          <w:sz w:val="32"/>
          <w:szCs w:val="32"/>
        </w:rPr>
        <w:t>（三）国有资产占用情况说明</w:t>
      </w:r>
      <w:r>
        <w:rPr>
          <w:rFonts w:hint="eastAsia" w:ascii="仿宋" w:hAnsi="仿宋" w:eastAsia="仿宋" w:cs="仿宋_GB2312"/>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"_Toc11283" </w:instrText>
      </w:r>
      <w:r>
        <w:fldChar w:fldCharType="separate"/>
      </w:r>
      <w:r>
        <w:rPr>
          <w:rFonts w:hint="eastAsia" w:ascii="仿宋" w:hAnsi="仿宋" w:eastAsia="仿宋" w:cs="仿宋_GB2312"/>
          <w:bCs/>
          <w:kern w:val="0"/>
          <w:sz w:val="32"/>
          <w:szCs w:val="32"/>
        </w:rPr>
        <w:t>十一、预算绩效的情况说明</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rPr>
          <w:rFonts w:hint="eastAsia" w:ascii="仿宋" w:hAnsi="仿宋" w:eastAsia="仿宋" w:cs="仿宋_GB2312"/>
          <w:sz w:val="32"/>
          <w:szCs w:val="32"/>
        </w:rPr>
        <w:t>十二、其他需说明的事项</w:t>
      </w:r>
    </w:p>
    <w:p>
      <w:pPr>
        <w:pStyle w:val="6"/>
        <w:tabs>
          <w:tab w:val="right" w:pos="8306"/>
        </w:tabs>
        <w:rPr>
          <w:rFonts w:ascii="仿宋" w:hAnsi="仿宋" w:eastAsia="仿宋" w:cs="仿宋_GB2312"/>
          <w:b/>
          <w:bCs/>
          <w:sz w:val="32"/>
          <w:szCs w:val="32"/>
        </w:rPr>
      </w:pPr>
      <w:r>
        <w:fldChar w:fldCharType="begin"/>
      </w:r>
      <w:r>
        <w:instrText xml:space="preserve"> HYPERLINK \l "_Toc3250" </w:instrText>
      </w:r>
      <w:r>
        <w:fldChar w:fldCharType="separate"/>
      </w:r>
      <w:r>
        <w:rPr>
          <w:rFonts w:hint="eastAsia" w:ascii="仿宋" w:hAnsi="仿宋" w:eastAsia="仿宋" w:cs="仿宋_GB2312"/>
          <w:b/>
          <w:bCs/>
          <w:sz w:val="32"/>
          <w:szCs w:val="32"/>
        </w:rPr>
        <w:t>第三部分 专业名词解释</w:t>
      </w:r>
      <w:r>
        <w:rPr>
          <w:rFonts w:hint="eastAsia" w:ascii="仿宋" w:hAnsi="仿宋" w:eastAsia="仿宋" w:cs="仿宋_GB2312"/>
          <w:b/>
          <w:bCs/>
          <w:sz w:val="32"/>
          <w:szCs w:val="32"/>
        </w:rPr>
        <w:fldChar w:fldCharType="end"/>
      </w:r>
    </w:p>
    <w:p>
      <w:pPr>
        <w:pStyle w:val="6"/>
        <w:tabs>
          <w:tab w:val="right" w:pos="8306"/>
        </w:tabs>
        <w:rPr>
          <w:rFonts w:ascii="仿宋" w:hAnsi="仿宋" w:eastAsia="仿宋" w:cs="仿宋_GB2312"/>
          <w:b/>
          <w:bCs/>
          <w:sz w:val="32"/>
          <w:szCs w:val="32"/>
        </w:rPr>
      </w:pPr>
      <w:r>
        <w:fldChar w:fldCharType="begin"/>
      </w:r>
      <w:r>
        <w:instrText xml:space="preserve"> HYPERLINK \l "_Toc22784" </w:instrText>
      </w:r>
      <w:r>
        <w:fldChar w:fldCharType="separate"/>
      </w:r>
      <w:r>
        <w:rPr>
          <w:rFonts w:hint="eastAsia" w:ascii="仿宋" w:hAnsi="仿宋" w:eastAsia="仿宋" w:cs="仿宋_GB2312"/>
          <w:b/>
          <w:bCs/>
          <w:sz w:val="32"/>
          <w:szCs w:val="32"/>
        </w:rPr>
        <w:t>第四部分 部门决算报表（见附表）</w:t>
      </w:r>
      <w:r>
        <w:rPr>
          <w:rFonts w:hint="eastAsia" w:ascii="仿宋" w:hAnsi="仿宋" w:eastAsia="仿宋" w:cs="仿宋_GB2312"/>
          <w:b/>
          <w:bCs/>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"_Toc2183" </w:instrText>
      </w:r>
      <w:r>
        <w:fldChar w:fldCharType="separate"/>
      </w:r>
      <w:r>
        <w:rPr>
          <w:rFonts w:hint="eastAsia" w:ascii="仿宋" w:hAnsi="仿宋" w:eastAsia="仿宋" w:cs="仿宋_GB2312"/>
          <w:bCs/>
          <w:kern w:val="0"/>
          <w:sz w:val="32"/>
          <w:szCs w:val="32"/>
        </w:rPr>
        <w:t>一、《收入支出决算总表》</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"_Toc24532" </w:instrText>
      </w:r>
      <w:r>
        <w:fldChar w:fldCharType="separate"/>
      </w:r>
      <w:r>
        <w:rPr>
          <w:rFonts w:hint="eastAsia" w:ascii="仿宋" w:hAnsi="仿宋" w:eastAsia="仿宋" w:cs="仿宋_GB2312"/>
          <w:bCs/>
          <w:kern w:val="0"/>
          <w:sz w:val="32"/>
          <w:szCs w:val="32"/>
        </w:rPr>
        <w:t>二、《收入决算表》</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"_Toc32434" </w:instrText>
      </w:r>
      <w:r>
        <w:fldChar w:fldCharType="separate"/>
      </w:r>
      <w:r>
        <w:rPr>
          <w:rFonts w:hint="eastAsia" w:ascii="仿宋" w:hAnsi="仿宋" w:eastAsia="仿宋" w:cs="仿宋_GB2312"/>
          <w:bCs/>
          <w:kern w:val="0"/>
          <w:sz w:val="32"/>
          <w:szCs w:val="32"/>
        </w:rPr>
        <w:t>三、《支出决算表》</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"_Toc28786" </w:instrText>
      </w:r>
      <w:r>
        <w:fldChar w:fldCharType="separate"/>
      </w:r>
      <w:r>
        <w:rPr>
          <w:rFonts w:hint="eastAsia" w:ascii="仿宋" w:hAnsi="仿宋" w:eastAsia="仿宋" w:cs="仿宋_GB2312"/>
          <w:bCs/>
          <w:kern w:val="0"/>
          <w:sz w:val="32"/>
          <w:szCs w:val="32"/>
        </w:rPr>
        <w:t>四、《财政拨款收入支出决算总表》</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"_Toc14869" </w:instrText>
      </w:r>
      <w:r>
        <w:fldChar w:fldCharType="separate"/>
      </w:r>
      <w:r>
        <w:rPr>
          <w:rFonts w:hint="eastAsia" w:ascii="仿宋" w:hAnsi="仿宋" w:eastAsia="仿宋" w:cs="仿宋_GB2312"/>
          <w:bCs/>
          <w:kern w:val="0"/>
          <w:sz w:val="32"/>
          <w:szCs w:val="32"/>
        </w:rPr>
        <w:t>五、《一般公共预算财政拨款支出决算表》</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"_Toc8884" </w:instrText>
      </w:r>
      <w:r>
        <w:fldChar w:fldCharType="separate"/>
      </w:r>
      <w:r>
        <w:rPr>
          <w:rFonts w:hint="eastAsia" w:ascii="仿宋" w:hAnsi="仿宋" w:eastAsia="仿宋" w:cs="仿宋_GB2312"/>
          <w:bCs/>
          <w:kern w:val="0"/>
          <w:sz w:val="32"/>
          <w:szCs w:val="32"/>
        </w:rPr>
        <w:t>六、《一般公共预算财政拨款基本支出决算表》</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sz w:val="32"/>
          <w:szCs w:val="32"/>
        </w:rPr>
      </w:pPr>
      <w:r>
        <w:fldChar w:fldCharType="begin"/>
      </w:r>
      <w:r>
        <w:instrText xml:space="preserve"> HYPERLINK \l "_Toc29106" </w:instrText>
      </w:r>
      <w:r>
        <w:fldChar w:fldCharType="separate"/>
      </w:r>
      <w:r>
        <w:rPr>
          <w:rFonts w:hint="eastAsia" w:ascii="仿宋" w:hAnsi="仿宋" w:eastAsia="仿宋" w:cs="仿宋_GB2312"/>
          <w:bCs/>
          <w:kern w:val="0"/>
          <w:sz w:val="32"/>
          <w:szCs w:val="32"/>
        </w:rPr>
        <w:t>七、《财政拨款“三公”经费支出决算表》</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bCs/>
          <w:kern w:val="0"/>
          <w:sz w:val="32"/>
          <w:szCs w:val="32"/>
        </w:rPr>
      </w:pPr>
      <w:r>
        <w:fldChar w:fldCharType="begin"/>
      </w:r>
      <w:r>
        <w:instrText xml:space="preserve"> HYPERLINK \l "_Toc7643" </w:instrText>
      </w:r>
      <w:r>
        <w:fldChar w:fldCharType="separate"/>
      </w:r>
      <w:r>
        <w:rPr>
          <w:rFonts w:hint="eastAsia" w:ascii="仿宋" w:hAnsi="仿宋" w:eastAsia="仿宋" w:cs="仿宋_GB2312"/>
          <w:bCs/>
          <w:kern w:val="0"/>
          <w:sz w:val="32"/>
          <w:szCs w:val="32"/>
        </w:rPr>
        <w:t>八、《政府性基金预算财政拨款收入支出决算表》</w:t>
      </w:r>
      <w:r>
        <w:rPr>
          <w:rFonts w:hint="eastAsia" w:ascii="仿宋" w:hAnsi="仿宋" w:eastAsia="仿宋" w:cs="仿宋_GB2312"/>
          <w:bCs/>
          <w:kern w:val="0"/>
          <w:sz w:val="32"/>
          <w:szCs w:val="32"/>
        </w:rPr>
        <w:fldChar w:fldCharType="end"/>
      </w:r>
    </w:p>
    <w:p>
      <w:pPr>
        <w:pStyle w:val="7"/>
        <w:tabs>
          <w:tab w:val="right" w:pos="8306"/>
        </w:tabs>
        <w:ind w:left="0" w:leftChars="0"/>
        <w:rPr>
          <w:rFonts w:ascii="仿宋" w:hAnsi="仿宋" w:eastAsia="仿宋" w:cs="仿宋_GB2312"/>
          <w:bCs/>
          <w:kern w:val="0"/>
          <w:sz w:val="32"/>
          <w:szCs w:val="32"/>
        </w:rPr>
      </w:pPr>
      <w:r>
        <w:rPr>
          <w:rFonts w:hint="eastAsia" w:ascii="仿宋" w:hAnsi="仿宋" w:eastAsia="仿宋" w:cs="仿宋_GB2312"/>
          <w:bCs/>
          <w:kern w:val="0"/>
          <w:sz w:val="32"/>
          <w:szCs w:val="32"/>
        </w:rPr>
        <w:t>九、《国有资本经营预算财政拨款收入支出决算表》</w:t>
      </w:r>
    </w:p>
    <w:p>
      <w:pPr>
        <w:rPr>
          <w:rFonts w:ascii="仿宋" w:hAnsi="仿宋" w:eastAsia="仿宋"/>
        </w:rPr>
      </w:pPr>
      <w:r>
        <w:rPr>
          <w:rFonts w:hint="eastAsia" w:ascii="仿宋" w:hAnsi="仿宋" w:eastAsia="仿宋" w:cs="仿宋_GB2312"/>
          <w:sz w:val="32"/>
          <w:szCs w:val="32"/>
        </w:rPr>
        <w:fldChar w:fldCharType="end"/>
      </w:r>
    </w:p>
    <w:p>
      <w:pPr>
        <w:rPr>
          <w:rFonts w:ascii="仿宋" w:hAnsi="仿宋" w:eastAsia="仿宋"/>
          <w:sz w:val="32"/>
          <w:szCs w:val="32"/>
        </w:rPr>
      </w:pPr>
      <w:r>
        <w:rPr>
          <w:rFonts w:hint="eastAsia" w:ascii="仿宋" w:hAnsi="仿宋" w:eastAsia="仿宋"/>
          <w:sz w:val="32"/>
          <w:szCs w:val="32"/>
        </w:rPr>
        <w:br w:type="page"/>
      </w:r>
    </w:p>
    <w:p>
      <w:pPr>
        <w:jc w:val="center"/>
        <w:outlineLvl w:val="0"/>
        <w:rPr>
          <w:rFonts w:hint="eastAsia" w:ascii="黑体" w:hAnsi="黑体" w:eastAsia="黑体" w:cs="黑体"/>
          <w:b w:val="0"/>
          <w:bCs w:val="0"/>
          <w:sz w:val="32"/>
          <w:szCs w:val="32"/>
        </w:rPr>
      </w:pPr>
      <w:bookmarkStart w:id="0" w:name="_Toc24028"/>
      <w:bookmarkStart w:id="1" w:name="_Toc32314"/>
      <w:r>
        <w:rPr>
          <w:rFonts w:hint="eastAsia" w:ascii="黑体" w:hAnsi="黑体" w:eastAsia="黑体" w:cs="黑体"/>
          <w:b w:val="0"/>
          <w:bCs w:val="0"/>
          <w:sz w:val="32"/>
          <w:szCs w:val="32"/>
        </w:rPr>
        <w:t>第一部分 单位概况</w:t>
      </w:r>
      <w:bookmarkEnd w:id="0"/>
      <w:bookmarkEnd w:id="1"/>
    </w:p>
    <w:p>
      <w:pPr>
        <w:ind w:firstLine="640" w:firstLineChars="200"/>
        <w:outlineLvl w:val="1"/>
        <w:rPr>
          <w:rFonts w:hint="eastAsia" w:ascii="黑体" w:hAnsi="黑体" w:eastAsia="黑体" w:cs="黑体"/>
          <w:bCs/>
          <w:kern w:val="0"/>
          <w:sz w:val="32"/>
          <w:szCs w:val="32"/>
        </w:rPr>
      </w:pPr>
      <w:bookmarkStart w:id="2" w:name="_Toc30738"/>
      <w:bookmarkStart w:id="3" w:name="_Toc30567"/>
      <w:r>
        <w:rPr>
          <w:rFonts w:hint="eastAsia" w:ascii="黑体" w:hAnsi="黑体" w:eastAsia="黑体" w:cs="黑体"/>
          <w:bCs/>
          <w:kern w:val="0"/>
          <w:sz w:val="32"/>
          <w:szCs w:val="32"/>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both"/>
        <w:textAlignment w:val="auto"/>
        <w:rPr>
          <w:rFonts w:hint="eastAsia" w:ascii="仿宋" w:hAnsi="仿宋" w:eastAsia="仿宋" w:cs="仿宋"/>
          <w:sz w:val="32"/>
          <w:szCs w:val="32"/>
        </w:rPr>
      </w:pPr>
      <w:bookmarkStart w:id="4" w:name="_Toc31238"/>
      <w:bookmarkStart w:id="5" w:name="_Toc2151"/>
      <w:r>
        <w:rPr>
          <w:rFonts w:hint="eastAsia" w:ascii="仿宋" w:hAnsi="仿宋" w:eastAsia="仿宋" w:cs="仿宋"/>
          <w:sz w:val="32"/>
          <w:szCs w:val="32"/>
        </w:rPr>
        <w:t>新疆药物研究所为自治区卫生健康委直属事业单位，是自治区科技厅社会公益类全额拨款单位,为自治区综合性药物研发机构。单位主要职责是利用现代科学理论和高新技术手段，挖掘、整理、研究天然药物和维吾尔特色药物，承担国家、自治区应用基础研究、应用开发研究任务，以及开展自治区新药民族药技术研发、技术应用、技术转移、技术推广和辐射示范、人才培养和学术交流等多项科研任务。</w:t>
      </w:r>
    </w:p>
    <w:p>
      <w:pPr>
        <w:ind w:firstLine="640" w:firstLineChars="200"/>
        <w:outlineLvl w:val="1"/>
        <w:rPr>
          <w:rFonts w:hint="eastAsia" w:ascii="黑体" w:hAnsi="黑体" w:eastAsia="黑体" w:cs="黑体"/>
          <w:bCs/>
          <w:kern w:val="0"/>
          <w:sz w:val="32"/>
          <w:szCs w:val="32"/>
        </w:rPr>
      </w:pPr>
      <w:r>
        <w:rPr>
          <w:rFonts w:hint="eastAsia" w:ascii="黑体" w:hAnsi="黑体" w:eastAsia="黑体" w:cs="黑体"/>
          <w:bCs/>
          <w:kern w:val="0"/>
          <w:sz w:val="32"/>
          <w:szCs w:val="32"/>
        </w:rPr>
        <w:t>二、机构设置及</w:t>
      </w:r>
      <w:bookmarkEnd w:id="4"/>
      <w:r>
        <w:rPr>
          <w:rFonts w:hint="eastAsia" w:ascii="黑体" w:hAnsi="黑体" w:eastAsia="黑体" w:cs="黑体"/>
          <w:bCs/>
          <w:kern w:val="0"/>
          <w:sz w:val="32"/>
          <w:szCs w:val="32"/>
        </w:rPr>
        <w:t>人员情况</w:t>
      </w:r>
      <w:bookmarkEnd w:id="5"/>
    </w:p>
    <w:p>
      <w:pPr>
        <w:ind w:firstLine="640" w:firstLineChars="200"/>
        <w:jc w:val="both"/>
        <w:rPr>
          <w:rFonts w:ascii="仿宋" w:hAnsi="仿宋" w:eastAsia="仿宋" w:cs="仿宋_GB2312"/>
          <w:b/>
          <w:sz w:val="32"/>
          <w:szCs w:val="32"/>
        </w:rPr>
      </w:pPr>
      <w:r>
        <w:rPr>
          <w:rFonts w:hint="eastAsia" w:ascii="仿宋" w:hAnsi="仿宋" w:eastAsia="仿宋"/>
          <w:sz w:val="32"/>
          <w:szCs w:val="32"/>
        </w:rPr>
        <w:t>新疆维吾尔自治区药物研究所2023年度，实有人数</w:t>
      </w:r>
      <w:r>
        <w:rPr>
          <w:rFonts w:hint="eastAsia" w:ascii="仿宋" w:hAnsi="仿宋" w:eastAsia="仿宋"/>
          <w:sz w:val="32"/>
          <w:szCs w:val="32"/>
          <w:lang w:val="zh-CN"/>
        </w:rPr>
        <w:t>110</w:t>
      </w:r>
      <w:r>
        <w:rPr>
          <w:rFonts w:hint="eastAsia" w:ascii="仿宋" w:hAnsi="仿宋" w:eastAsia="仿宋"/>
          <w:sz w:val="32"/>
          <w:szCs w:val="32"/>
        </w:rPr>
        <w:t>人，其中：在职人员</w:t>
      </w:r>
      <w:r>
        <w:rPr>
          <w:rFonts w:hint="eastAsia" w:ascii="仿宋" w:hAnsi="仿宋" w:eastAsia="仿宋"/>
          <w:sz w:val="32"/>
          <w:szCs w:val="32"/>
          <w:lang w:val="zh-CN"/>
        </w:rPr>
        <w:t>65</w:t>
      </w:r>
      <w:r>
        <w:rPr>
          <w:rFonts w:hint="eastAsia" w:ascii="仿宋" w:hAnsi="仿宋" w:eastAsia="仿宋"/>
          <w:sz w:val="32"/>
          <w:szCs w:val="32"/>
        </w:rPr>
        <w:t>人，离休人员</w:t>
      </w:r>
      <w:r>
        <w:rPr>
          <w:rFonts w:hint="eastAsia" w:ascii="仿宋" w:hAnsi="仿宋" w:eastAsia="仿宋"/>
          <w:sz w:val="32"/>
          <w:szCs w:val="32"/>
          <w:lang w:val="zh-CN"/>
        </w:rPr>
        <w:t>0</w:t>
      </w:r>
      <w:r>
        <w:rPr>
          <w:rFonts w:hint="eastAsia" w:ascii="仿宋" w:hAnsi="仿宋" w:eastAsia="仿宋"/>
          <w:sz w:val="32"/>
          <w:szCs w:val="32"/>
        </w:rPr>
        <w:t>人，退休人员</w:t>
      </w:r>
      <w:r>
        <w:rPr>
          <w:rFonts w:hint="eastAsia" w:ascii="仿宋" w:hAnsi="仿宋" w:eastAsia="仿宋"/>
          <w:sz w:val="32"/>
          <w:szCs w:val="32"/>
          <w:lang w:val="zh-CN"/>
        </w:rPr>
        <w:t>45</w:t>
      </w:r>
      <w:r>
        <w:rPr>
          <w:rFonts w:hint="eastAsia" w:ascii="仿宋" w:hAnsi="仿宋" w:eastAsia="仿宋"/>
          <w:sz w:val="32"/>
          <w:szCs w:val="32"/>
        </w:rPr>
        <w:t>人。</w:t>
      </w:r>
    </w:p>
    <w:p>
      <w:pPr>
        <w:ind w:firstLine="640" w:firstLineChars="200"/>
        <w:jc w:val="both"/>
        <w:rPr>
          <w:rFonts w:ascii="仿宋" w:hAnsi="仿宋" w:eastAsia="仿宋"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 w:hAnsi="仿宋" w:eastAsia="仿宋" w:cs="宋体"/>
          <w:bCs/>
          <w:kern w:val="0"/>
          <w:sz w:val="32"/>
          <w:szCs w:val="32"/>
        </w:rPr>
        <w:t>单位无下属预算单位，下设</w:t>
      </w:r>
      <w:r>
        <w:rPr>
          <w:rFonts w:hint="eastAsia" w:ascii="仿宋" w:hAnsi="仿宋" w:eastAsia="仿宋"/>
          <w:sz w:val="32"/>
          <w:szCs w:val="32"/>
          <w:lang w:val="en-US" w:eastAsia="zh-CN"/>
        </w:rPr>
        <w:t>十四</w:t>
      </w:r>
      <w:r>
        <w:rPr>
          <w:rFonts w:hint="eastAsia" w:ascii="仿宋" w:hAnsi="仿宋" w:eastAsia="仿宋" w:cs="宋体"/>
          <w:bCs/>
          <w:kern w:val="0"/>
          <w:sz w:val="32"/>
          <w:szCs w:val="32"/>
        </w:rPr>
        <w:t>个处室，分别是：</w:t>
      </w:r>
      <w:r>
        <w:rPr>
          <w:rFonts w:hint="eastAsia" w:ascii="仿宋" w:hAnsi="仿宋" w:eastAsia="仿宋" w:cs="仿宋"/>
          <w:sz w:val="32"/>
          <w:szCs w:val="32"/>
        </w:rPr>
        <w:t>综合办公室、人事科、财务科、科教科、信息科、纪检室、战略研究室、民药研究室、植物化学研究室、药剂室、药理Ⅰ室、药理Ⅱ室、分析测试室、食品检验室。</w:t>
      </w:r>
    </w:p>
    <w:p>
      <w:pPr>
        <w:jc w:val="center"/>
        <w:outlineLvl w:val="0"/>
        <w:rPr>
          <w:rFonts w:hint="eastAsia" w:ascii="黑体" w:hAnsi="黑体" w:eastAsia="黑体" w:cs="黑体"/>
          <w:sz w:val="32"/>
          <w:szCs w:val="32"/>
        </w:rPr>
      </w:pPr>
      <w:bookmarkStart w:id="6" w:name="_Toc29374"/>
      <w:bookmarkStart w:id="7" w:name="_Toc3092"/>
      <w:r>
        <w:rPr>
          <w:rFonts w:hint="eastAsia" w:ascii="黑体" w:hAnsi="黑体" w:eastAsia="黑体" w:cs="黑体"/>
          <w:sz w:val="32"/>
          <w:szCs w:val="32"/>
        </w:rPr>
        <w:t>第二部分 部门决算情况说明</w:t>
      </w:r>
      <w:bookmarkEnd w:id="6"/>
      <w:bookmarkEnd w:id="7"/>
    </w:p>
    <w:p>
      <w:pPr>
        <w:ind w:firstLine="640" w:firstLineChars="200"/>
        <w:outlineLvl w:val="1"/>
        <w:rPr>
          <w:rFonts w:hint="eastAsia" w:ascii="黑体" w:hAnsi="黑体" w:eastAsia="黑体" w:cs="黑体"/>
          <w:bCs/>
          <w:kern w:val="0"/>
          <w:sz w:val="32"/>
          <w:szCs w:val="32"/>
        </w:rPr>
      </w:pPr>
      <w:bookmarkStart w:id="8" w:name="_Toc25314"/>
      <w:bookmarkStart w:id="9" w:name="_Toc12566"/>
      <w:r>
        <w:rPr>
          <w:rFonts w:hint="eastAsia" w:ascii="黑体" w:hAnsi="黑体" w:eastAsia="黑体" w:cs="黑体"/>
          <w:bCs/>
          <w:kern w:val="0"/>
          <w:sz w:val="32"/>
          <w:szCs w:val="32"/>
        </w:rPr>
        <w:t>一、收入支出决算总体情况说明</w:t>
      </w:r>
      <w:bookmarkEnd w:id="8"/>
      <w:bookmarkEnd w:id="9"/>
    </w:p>
    <w:p>
      <w:pPr>
        <w:ind w:firstLine="643" w:firstLineChars="200"/>
        <w:jc w:val="both"/>
        <w:rPr>
          <w:rFonts w:ascii="仿宋" w:hAnsi="仿宋" w:eastAsia="仿宋"/>
          <w:sz w:val="32"/>
          <w:szCs w:val="32"/>
        </w:rPr>
      </w:pPr>
      <w:r>
        <w:rPr>
          <w:rFonts w:hint="eastAsia" w:ascii="仿宋" w:hAnsi="仿宋" w:eastAsia="仿宋"/>
          <w:b/>
          <w:bCs/>
          <w:sz w:val="32"/>
          <w:szCs w:val="32"/>
        </w:rPr>
        <w:t>2023年度收入总计5,487.41万元，</w:t>
      </w:r>
      <w:r>
        <w:rPr>
          <w:rFonts w:hint="eastAsia" w:ascii="仿宋" w:hAnsi="仿宋" w:eastAsia="仿宋"/>
          <w:sz w:val="32"/>
          <w:szCs w:val="32"/>
        </w:rPr>
        <w:t>其中：本年收入合计3,510.10万元，使用非财政拨款结余0.00万元，年初结转和结余1,977.31万元。</w:t>
      </w:r>
    </w:p>
    <w:p>
      <w:pPr>
        <w:ind w:firstLine="643" w:firstLineChars="200"/>
        <w:jc w:val="both"/>
        <w:rPr>
          <w:rFonts w:ascii="仿宋" w:hAnsi="仿宋" w:eastAsia="仿宋"/>
          <w:sz w:val="32"/>
          <w:szCs w:val="32"/>
        </w:rPr>
      </w:pPr>
      <w:r>
        <w:rPr>
          <w:rFonts w:hint="eastAsia" w:ascii="仿宋" w:hAnsi="仿宋" w:eastAsia="仿宋"/>
          <w:b/>
          <w:bCs/>
          <w:sz w:val="32"/>
          <w:szCs w:val="32"/>
        </w:rPr>
        <w:t>2023年度支出总计5,487.41万元，</w:t>
      </w:r>
      <w:r>
        <w:rPr>
          <w:rFonts w:hint="eastAsia" w:ascii="仿宋" w:hAnsi="仿宋" w:eastAsia="仿宋"/>
          <w:sz w:val="32"/>
          <w:szCs w:val="32"/>
        </w:rPr>
        <w:t>其中：本年支出合计3,494.69万元，结余分配0.00万元，年末结转和结余1,992.73万元。</w:t>
      </w:r>
    </w:p>
    <w:p>
      <w:pPr>
        <w:ind w:firstLine="643" w:firstLineChars="200"/>
        <w:rPr>
          <w:rFonts w:ascii="仿宋" w:hAnsi="仿宋" w:eastAsia="仿宋"/>
          <w:sz w:val="32"/>
          <w:szCs w:val="32"/>
        </w:rPr>
      </w:pPr>
      <w:r>
        <w:rPr>
          <w:rFonts w:hint="eastAsia" w:ascii="仿宋" w:hAnsi="仿宋" w:eastAsia="仿宋"/>
          <w:b/>
          <w:bCs/>
          <w:sz w:val="32"/>
          <w:szCs w:val="32"/>
        </w:rPr>
        <w:t>收入支出总体与上年相比，</w:t>
      </w:r>
      <w:r>
        <w:rPr>
          <w:rFonts w:hint="eastAsia" w:ascii="仿宋" w:hAnsi="仿宋" w:eastAsia="仿宋"/>
          <w:sz w:val="32"/>
          <w:szCs w:val="32"/>
          <w:lang w:val="zh-CN"/>
        </w:rPr>
        <w:t>增加936.31万元</w:t>
      </w:r>
      <w:r>
        <w:rPr>
          <w:rFonts w:hint="eastAsia" w:ascii="仿宋" w:hAnsi="仿宋" w:eastAsia="仿宋"/>
          <w:sz w:val="32"/>
          <w:szCs w:val="32"/>
        </w:rPr>
        <w:t>，增长20.57%，主要原因是：</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本年财政拨款增加在职和退休人员提高基础绩效奖、政策性薪资调增、年度考核奖，以及去世职工丧葬费抚恤金等人员经费，导致本年基本支出较上年增加。</w:t>
      </w:r>
      <w:r>
        <w:rPr>
          <w:rFonts w:hint="eastAsia" w:ascii="仿宋" w:hAnsi="仿宋" w:eastAsia="仿宋" w:cs="仿宋"/>
          <w:sz w:val="32"/>
          <w:szCs w:val="32"/>
          <w:lang w:val="en-US" w:eastAsia="zh-CN"/>
        </w:rPr>
        <w:t>2.本年财政拨款科研项目及非财政拨款科研项目在研期间根据项目实施进度及开展内容，项目支出较上年增加。</w:t>
      </w:r>
    </w:p>
    <w:p>
      <w:pPr>
        <w:ind w:firstLine="640" w:firstLineChars="200"/>
        <w:jc w:val="left"/>
        <w:outlineLvl w:val="1"/>
        <w:rPr>
          <w:rFonts w:hint="eastAsia" w:ascii="黑体" w:hAnsi="黑体" w:eastAsia="黑体" w:cs="黑体"/>
          <w:bCs/>
          <w:kern w:val="0"/>
          <w:sz w:val="32"/>
          <w:szCs w:val="32"/>
        </w:rPr>
      </w:pPr>
      <w:bookmarkStart w:id="10" w:name="_Toc12142"/>
      <w:bookmarkStart w:id="11" w:name="_Toc1979"/>
      <w:r>
        <w:rPr>
          <w:rFonts w:hint="eastAsia" w:ascii="黑体" w:hAnsi="黑体" w:eastAsia="黑体" w:cs="黑体"/>
          <w:bCs/>
          <w:kern w:val="0"/>
          <w:sz w:val="32"/>
          <w:szCs w:val="32"/>
        </w:rPr>
        <w:t>二、收入决算情况说明</w:t>
      </w:r>
      <w:bookmarkEnd w:id="10"/>
      <w:bookmarkEnd w:id="11"/>
    </w:p>
    <w:p>
      <w:pPr>
        <w:ind w:firstLine="643" w:firstLineChars="200"/>
        <w:jc w:val="both"/>
        <w:rPr>
          <w:rFonts w:ascii="仿宋" w:hAnsi="仿宋" w:eastAsia="仿宋"/>
          <w:sz w:val="32"/>
          <w:szCs w:val="32"/>
        </w:rPr>
      </w:pPr>
      <w:r>
        <w:rPr>
          <w:rFonts w:hint="eastAsia" w:ascii="仿宋" w:hAnsi="仿宋" w:eastAsia="仿宋"/>
          <w:b/>
          <w:bCs/>
          <w:sz w:val="32"/>
          <w:szCs w:val="32"/>
        </w:rPr>
        <w:t>本年收入3,510.10万元，</w:t>
      </w:r>
      <w:r>
        <w:rPr>
          <w:rFonts w:hint="eastAsia" w:ascii="仿宋" w:hAnsi="仿宋" w:eastAsia="仿宋"/>
          <w:sz w:val="32"/>
          <w:szCs w:val="32"/>
        </w:rPr>
        <w:t>其中：财政拨款收入</w:t>
      </w:r>
      <w:r>
        <w:rPr>
          <w:rFonts w:hint="eastAsia" w:ascii="仿宋" w:hAnsi="仿宋" w:eastAsia="仿宋"/>
          <w:sz w:val="32"/>
          <w:szCs w:val="32"/>
          <w:lang w:val="zh-CN"/>
        </w:rPr>
        <w:t>2,355.82</w:t>
      </w:r>
      <w:r>
        <w:rPr>
          <w:rFonts w:hint="eastAsia" w:ascii="仿宋" w:hAnsi="仿宋" w:eastAsia="仿宋"/>
          <w:sz w:val="32"/>
          <w:szCs w:val="32"/>
        </w:rPr>
        <w:t>万元，占</w:t>
      </w:r>
      <w:r>
        <w:rPr>
          <w:rFonts w:hint="eastAsia" w:ascii="仿宋" w:hAnsi="仿宋" w:eastAsia="仿宋"/>
          <w:sz w:val="32"/>
          <w:szCs w:val="32"/>
          <w:lang w:val="zh-CN"/>
        </w:rPr>
        <w:t>67.12</w:t>
      </w:r>
      <w:r>
        <w:rPr>
          <w:rFonts w:hint="eastAsia" w:ascii="仿宋" w:hAnsi="仿宋" w:eastAsia="仿宋"/>
          <w:sz w:val="32"/>
          <w:szCs w:val="32"/>
        </w:rPr>
        <w:t>%；上级补助收入</w:t>
      </w:r>
      <w:r>
        <w:rPr>
          <w:rFonts w:hint="eastAsia" w:ascii="仿宋" w:hAnsi="仿宋" w:eastAsia="仿宋"/>
          <w:sz w:val="32"/>
          <w:szCs w:val="32"/>
          <w:lang w:val="zh-CN"/>
        </w:rPr>
        <w:t>0.00</w:t>
      </w:r>
      <w:r>
        <w:rPr>
          <w:rFonts w:hint="eastAsia" w:ascii="仿宋" w:hAnsi="仿宋" w:eastAsia="仿宋"/>
          <w:sz w:val="32"/>
          <w:szCs w:val="32"/>
        </w:rPr>
        <w:t>万元，占</w:t>
      </w:r>
      <w:r>
        <w:rPr>
          <w:rFonts w:hint="eastAsia" w:ascii="仿宋" w:hAnsi="仿宋" w:eastAsia="仿宋"/>
          <w:sz w:val="32"/>
          <w:szCs w:val="32"/>
          <w:lang w:val="zh-CN"/>
        </w:rPr>
        <w:t>0.00</w:t>
      </w:r>
      <w:r>
        <w:rPr>
          <w:rFonts w:hint="eastAsia" w:ascii="仿宋" w:hAnsi="仿宋" w:eastAsia="仿宋"/>
          <w:sz w:val="32"/>
          <w:szCs w:val="32"/>
        </w:rPr>
        <w:t>%；事业收入</w:t>
      </w:r>
      <w:r>
        <w:rPr>
          <w:rFonts w:hint="eastAsia" w:ascii="仿宋" w:hAnsi="仿宋" w:eastAsia="仿宋"/>
          <w:sz w:val="32"/>
          <w:szCs w:val="32"/>
          <w:lang w:val="zh-CN"/>
        </w:rPr>
        <w:t>0.00</w:t>
      </w:r>
      <w:r>
        <w:rPr>
          <w:rFonts w:hint="eastAsia" w:ascii="仿宋" w:hAnsi="仿宋" w:eastAsia="仿宋"/>
          <w:sz w:val="32"/>
          <w:szCs w:val="32"/>
        </w:rPr>
        <w:t>万元，占</w:t>
      </w:r>
      <w:r>
        <w:rPr>
          <w:rFonts w:hint="eastAsia" w:ascii="仿宋" w:hAnsi="仿宋" w:eastAsia="仿宋"/>
          <w:sz w:val="32"/>
          <w:szCs w:val="32"/>
          <w:lang w:val="zh-CN"/>
        </w:rPr>
        <w:t>0.00</w:t>
      </w:r>
      <w:r>
        <w:rPr>
          <w:rFonts w:hint="eastAsia" w:ascii="仿宋" w:hAnsi="仿宋" w:eastAsia="仿宋"/>
          <w:sz w:val="32"/>
          <w:szCs w:val="32"/>
        </w:rPr>
        <w:t>%；经营收入</w:t>
      </w:r>
      <w:r>
        <w:rPr>
          <w:rFonts w:hint="eastAsia" w:ascii="仿宋" w:hAnsi="仿宋" w:eastAsia="仿宋"/>
          <w:sz w:val="32"/>
          <w:szCs w:val="32"/>
          <w:lang w:val="zh-CN"/>
        </w:rPr>
        <w:t>0.00</w:t>
      </w:r>
      <w:r>
        <w:rPr>
          <w:rFonts w:hint="eastAsia" w:ascii="仿宋" w:hAnsi="仿宋" w:eastAsia="仿宋"/>
          <w:sz w:val="32"/>
          <w:szCs w:val="32"/>
        </w:rPr>
        <w:t>万元，占</w:t>
      </w:r>
      <w:r>
        <w:rPr>
          <w:rFonts w:hint="eastAsia" w:ascii="仿宋" w:hAnsi="仿宋" w:eastAsia="仿宋"/>
          <w:sz w:val="32"/>
          <w:szCs w:val="32"/>
          <w:lang w:val="zh-CN"/>
        </w:rPr>
        <w:t>0.00</w:t>
      </w:r>
      <w:r>
        <w:rPr>
          <w:rFonts w:hint="eastAsia" w:ascii="仿宋" w:hAnsi="仿宋" w:eastAsia="仿宋"/>
          <w:sz w:val="32"/>
          <w:szCs w:val="32"/>
        </w:rPr>
        <w:t>%；附属单位上缴收入</w:t>
      </w:r>
      <w:r>
        <w:rPr>
          <w:rFonts w:hint="eastAsia" w:ascii="仿宋" w:hAnsi="仿宋" w:eastAsia="仿宋"/>
          <w:sz w:val="32"/>
          <w:szCs w:val="32"/>
          <w:lang w:val="zh-CN"/>
        </w:rPr>
        <w:t>0.00</w:t>
      </w:r>
      <w:r>
        <w:rPr>
          <w:rFonts w:hint="eastAsia" w:ascii="仿宋" w:hAnsi="仿宋" w:eastAsia="仿宋"/>
          <w:sz w:val="32"/>
          <w:szCs w:val="32"/>
        </w:rPr>
        <w:t>万元，占</w:t>
      </w:r>
      <w:r>
        <w:rPr>
          <w:rFonts w:hint="eastAsia" w:ascii="仿宋" w:hAnsi="仿宋" w:eastAsia="仿宋"/>
          <w:sz w:val="32"/>
          <w:szCs w:val="32"/>
          <w:lang w:val="zh-CN"/>
        </w:rPr>
        <w:t>0.00</w:t>
      </w:r>
      <w:r>
        <w:rPr>
          <w:rFonts w:hint="eastAsia" w:ascii="仿宋" w:hAnsi="仿宋" w:eastAsia="仿宋"/>
          <w:sz w:val="32"/>
          <w:szCs w:val="32"/>
        </w:rPr>
        <w:t>%；其他收入</w:t>
      </w:r>
      <w:r>
        <w:rPr>
          <w:rFonts w:hint="eastAsia" w:ascii="仿宋" w:hAnsi="仿宋" w:eastAsia="仿宋"/>
          <w:sz w:val="32"/>
          <w:szCs w:val="32"/>
          <w:lang w:val="zh-CN"/>
        </w:rPr>
        <w:t>1,154.28</w:t>
      </w:r>
      <w:r>
        <w:rPr>
          <w:rFonts w:hint="eastAsia" w:ascii="仿宋" w:hAnsi="仿宋" w:eastAsia="仿宋"/>
          <w:sz w:val="32"/>
          <w:szCs w:val="32"/>
        </w:rPr>
        <w:t>万元，占</w:t>
      </w:r>
      <w:r>
        <w:rPr>
          <w:rFonts w:hint="eastAsia" w:ascii="仿宋" w:hAnsi="仿宋" w:eastAsia="仿宋"/>
          <w:sz w:val="32"/>
          <w:szCs w:val="32"/>
          <w:lang w:val="zh-CN"/>
        </w:rPr>
        <w:t>32.88</w:t>
      </w:r>
      <w:r>
        <w:rPr>
          <w:rFonts w:hint="eastAsia" w:ascii="仿宋" w:hAnsi="仿宋" w:eastAsia="仿宋"/>
          <w:sz w:val="32"/>
          <w:szCs w:val="32"/>
        </w:rPr>
        <w:t>%。</w:t>
      </w:r>
    </w:p>
    <w:p>
      <w:pPr>
        <w:ind w:firstLine="640" w:firstLineChars="200"/>
        <w:jc w:val="left"/>
        <w:outlineLvl w:val="1"/>
        <w:rPr>
          <w:rFonts w:hint="eastAsia" w:ascii="黑体" w:hAnsi="黑体" w:eastAsia="黑体" w:cs="黑体"/>
          <w:b w:val="0"/>
          <w:bCs/>
          <w:kern w:val="0"/>
          <w:sz w:val="32"/>
          <w:szCs w:val="32"/>
        </w:rPr>
      </w:pPr>
      <w:bookmarkStart w:id="12" w:name="_Toc13201"/>
      <w:bookmarkStart w:id="13" w:name="_Toc27961"/>
      <w:r>
        <w:rPr>
          <w:rFonts w:hint="eastAsia" w:ascii="黑体" w:hAnsi="黑体" w:eastAsia="黑体" w:cs="黑体"/>
          <w:b w:val="0"/>
          <w:bCs/>
          <w:kern w:val="0"/>
          <w:sz w:val="32"/>
          <w:szCs w:val="32"/>
        </w:rPr>
        <w:t>三、支出决算情况说明</w:t>
      </w:r>
      <w:bookmarkEnd w:id="12"/>
      <w:bookmarkEnd w:id="13"/>
    </w:p>
    <w:p>
      <w:pPr>
        <w:ind w:firstLine="643" w:firstLineChars="200"/>
        <w:jc w:val="left"/>
        <w:rPr>
          <w:rFonts w:ascii="仿宋" w:hAnsi="仿宋" w:eastAsia="仿宋" w:cs="仿宋_GB2312"/>
          <w:sz w:val="32"/>
          <w:szCs w:val="32"/>
          <w:lang w:val="zh-CN"/>
        </w:rPr>
      </w:pPr>
      <w:r>
        <w:rPr>
          <w:rFonts w:hint="eastAsia" w:ascii="仿宋" w:hAnsi="仿宋" w:eastAsia="仿宋" w:cs="仿宋_GB2312"/>
          <w:b/>
          <w:bCs/>
          <w:sz w:val="32"/>
          <w:szCs w:val="32"/>
          <w:lang w:val="zh-CN"/>
        </w:rPr>
        <w:t>本年支出3,494.69万元，</w:t>
      </w:r>
      <w:r>
        <w:rPr>
          <w:rFonts w:hint="eastAsia" w:ascii="仿宋" w:hAnsi="仿宋" w:eastAsia="仿宋" w:cs="仿宋_GB2312"/>
          <w:sz w:val="32"/>
          <w:szCs w:val="32"/>
          <w:lang w:val="zh-CN"/>
        </w:rPr>
        <w:t>其中：基本支出1,692.03万元，占48.42%；项目支出1,802.65万元，占51.58%；上缴上级支出0.00万元，占0.00%；经营支出0.00万元，占0.00%；对附属单位补助支出0.00万元，占0.00%。</w:t>
      </w:r>
    </w:p>
    <w:p>
      <w:pPr>
        <w:ind w:firstLine="640" w:firstLineChars="200"/>
        <w:jc w:val="left"/>
        <w:outlineLvl w:val="1"/>
        <w:rPr>
          <w:rFonts w:hint="eastAsia" w:ascii="黑体" w:hAnsi="黑体" w:eastAsia="黑体" w:cs="黑体"/>
          <w:bCs/>
          <w:kern w:val="0"/>
          <w:sz w:val="32"/>
          <w:szCs w:val="32"/>
        </w:rPr>
      </w:pPr>
      <w:bookmarkStart w:id="14" w:name="_Toc4393"/>
      <w:bookmarkStart w:id="15" w:name="_Toc26564"/>
      <w:r>
        <w:rPr>
          <w:rFonts w:hint="eastAsia" w:ascii="黑体" w:hAnsi="黑体" w:eastAsia="黑体" w:cs="黑体"/>
          <w:bCs/>
          <w:kern w:val="0"/>
          <w:sz w:val="32"/>
          <w:szCs w:val="32"/>
        </w:rPr>
        <w:t>四、财政拨款收入支出决算总体情况说明</w:t>
      </w:r>
      <w:bookmarkEnd w:id="14"/>
      <w:bookmarkEnd w:id="15"/>
    </w:p>
    <w:p>
      <w:pPr>
        <w:ind w:firstLine="643" w:firstLineChars="200"/>
        <w:jc w:val="both"/>
        <w:rPr>
          <w:rFonts w:ascii="仿宋" w:hAnsi="仿宋" w:eastAsia="仿宋"/>
          <w:sz w:val="32"/>
          <w:szCs w:val="32"/>
        </w:rPr>
      </w:pPr>
      <w:r>
        <w:rPr>
          <w:rFonts w:hint="eastAsia" w:ascii="仿宋" w:hAnsi="仿宋" w:eastAsia="仿宋"/>
          <w:b/>
          <w:bCs/>
          <w:sz w:val="32"/>
          <w:szCs w:val="32"/>
        </w:rPr>
        <w:t>2023年度财政拨款收入总计</w:t>
      </w:r>
      <w:r>
        <w:rPr>
          <w:rFonts w:hint="eastAsia" w:ascii="仿宋" w:hAnsi="仿宋" w:eastAsia="仿宋"/>
          <w:b/>
          <w:bCs/>
          <w:sz w:val="32"/>
          <w:szCs w:val="32"/>
          <w:lang w:val="zh-CN"/>
        </w:rPr>
        <w:t>2,355.82</w:t>
      </w:r>
      <w:r>
        <w:rPr>
          <w:rFonts w:hint="eastAsia" w:ascii="仿宋" w:hAnsi="仿宋" w:eastAsia="仿宋"/>
          <w:b/>
          <w:bCs/>
          <w:sz w:val="32"/>
          <w:szCs w:val="32"/>
        </w:rPr>
        <w:t>万元，</w:t>
      </w:r>
      <w:r>
        <w:rPr>
          <w:rFonts w:hint="eastAsia" w:ascii="仿宋" w:hAnsi="仿宋" w:eastAsia="仿宋"/>
          <w:sz w:val="32"/>
          <w:szCs w:val="32"/>
        </w:rPr>
        <w:t>其中：年初财政拨款结转和结余</w:t>
      </w:r>
      <w:r>
        <w:rPr>
          <w:rFonts w:hint="eastAsia" w:ascii="仿宋" w:hAnsi="仿宋" w:eastAsia="仿宋"/>
          <w:sz w:val="32"/>
          <w:szCs w:val="32"/>
          <w:lang w:val="zh-CN"/>
        </w:rPr>
        <w:t>0.00</w:t>
      </w:r>
      <w:r>
        <w:rPr>
          <w:rFonts w:hint="eastAsia" w:ascii="仿宋" w:hAnsi="仿宋" w:eastAsia="仿宋"/>
          <w:sz w:val="32"/>
          <w:szCs w:val="32"/>
        </w:rPr>
        <w:t>万元，本年财政拨款收入</w:t>
      </w:r>
      <w:r>
        <w:rPr>
          <w:rFonts w:hint="eastAsia" w:ascii="仿宋" w:hAnsi="仿宋" w:eastAsia="仿宋"/>
          <w:sz w:val="32"/>
          <w:szCs w:val="32"/>
          <w:lang w:val="zh-CN"/>
        </w:rPr>
        <w:t>2,355.82</w:t>
      </w:r>
      <w:r>
        <w:rPr>
          <w:rFonts w:hint="eastAsia" w:ascii="仿宋" w:hAnsi="仿宋" w:eastAsia="仿宋"/>
          <w:sz w:val="32"/>
          <w:szCs w:val="32"/>
        </w:rPr>
        <w:t>万元。</w:t>
      </w:r>
      <w:r>
        <w:rPr>
          <w:rFonts w:hint="eastAsia" w:ascii="仿宋" w:hAnsi="仿宋" w:eastAsia="仿宋"/>
          <w:b/>
          <w:bCs/>
          <w:sz w:val="32"/>
          <w:szCs w:val="32"/>
        </w:rPr>
        <w:t>财政拨款支出总计</w:t>
      </w:r>
      <w:r>
        <w:rPr>
          <w:rFonts w:hint="eastAsia" w:ascii="仿宋" w:hAnsi="仿宋" w:eastAsia="仿宋"/>
          <w:b/>
          <w:bCs/>
          <w:sz w:val="32"/>
          <w:szCs w:val="32"/>
          <w:lang w:val="zh-CN"/>
        </w:rPr>
        <w:t>2,355.82</w:t>
      </w:r>
      <w:r>
        <w:rPr>
          <w:rFonts w:hint="eastAsia" w:ascii="仿宋" w:hAnsi="仿宋" w:eastAsia="仿宋"/>
          <w:b/>
          <w:bCs/>
          <w:sz w:val="32"/>
          <w:szCs w:val="32"/>
        </w:rPr>
        <w:t>万元，</w:t>
      </w:r>
      <w:r>
        <w:rPr>
          <w:rFonts w:hint="eastAsia" w:ascii="仿宋" w:hAnsi="仿宋" w:eastAsia="仿宋"/>
          <w:sz w:val="32"/>
          <w:szCs w:val="32"/>
        </w:rPr>
        <w:t>其中：年末财政拨款结转和结余</w:t>
      </w:r>
      <w:r>
        <w:rPr>
          <w:rFonts w:hint="eastAsia" w:ascii="仿宋" w:hAnsi="仿宋" w:eastAsia="仿宋"/>
          <w:sz w:val="32"/>
          <w:szCs w:val="32"/>
          <w:lang w:val="zh-CN"/>
        </w:rPr>
        <w:t>0.00</w:t>
      </w:r>
      <w:r>
        <w:rPr>
          <w:rFonts w:hint="eastAsia" w:ascii="仿宋" w:hAnsi="仿宋" w:eastAsia="仿宋"/>
          <w:sz w:val="32"/>
          <w:szCs w:val="32"/>
        </w:rPr>
        <w:t>万元，本年财政拨款支出</w:t>
      </w:r>
      <w:r>
        <w:rPr>
          <w:rFonts w:hint="eastAsia" w:ascii="仿宋" w:hAnsi="仿宋" w:eastAsia="仿宋"/>
          <w:sz w:val="32"/>
          <w:szCs w:val="32"/>
          <w:lang w:val="zh-CN"/>
        </w:rPr>
        <w:t>2,355.82</w:t>
      </w:r>
      <w:r>
        <w:rPr>
          <w:rFonts w:hint="eastAsia" w:ascii="仿宋" w:hAnsi="仿宋" w:eastAsia="仿宋"/>
          <w:sz w:val="32"/>
          <w:szCs w:val="32"/>
        </w:rPr>
        <w:t>万元。</w:t>
      </w:r>
    </w:p>
    <w:p>
      <w:pPr>
        <w:keepNext w:val="0"/>
        <w:keepLines w:val="0"/>
        <w:widowControl/>
        <w:suppressLineNumbers w:val="0"/>
        <w:ind w:firstLine="643" w:firstLineChars="200"/>
        <w:jc w:val="both"/>
        <w:rPr>
          <w:rFonts w:hint="eastAsia" w:ascii="仿宋" w:hAnsi="仿宋" w:eastAsia="仿宋" w:cs="仿宋"/>
          <w:sz w:val="32"/>
          <w:szCs w:val="32"/>
          <w:lang w:eastAsia="zh-CN"/>
        </w:rPr>
      </w:pPr>
      <w:r>
        <w:rPr>
          <w:rFonts w:hint="eastAsia" w:ascii="仿宋" w:hAnsi="仿宋" w:eastAsia="仿宋"/>
          <w:b/>
          <w:bCs/>
          <w:sz w:val="32"/>
          <w:szCs w:val="32"/>
        </w:rPr>
        <w:t>财政拨款收入支出总体与上年相比,</w:t>
      </w:r>
      <w:r>
        <w:rPr>
          <w:rFonts w:hint="eastAsia" w:ascii="仿宋" w:hAnsi="仿宋" w:eastAsia="仿宋"/>
          <w:sz w:val="32"/>
          <w:szCs w:val="32"/>
          <w:lang w:val="zh-CN"/>
        </w:rPr>
        <w:t>增加606.01万元</w:t>
      </w:r>
      <w:r>
        <w:rPr>
          <w:rFonts w:hint="eastAsia" w:ascii="仿宋" w:hAnsi="仿宋" w:eastAsia="仿宋"/>
          <w:sz w:val="32"/>
          <w:szCs w:val="32"/>
        </w:rPr>
        <w:t>，增长34.63%,主要原因是：</w:t>
      </w:r>
      <w:r>
        <w:rPr>
          <w:rFonts w:hint="eastAsia" w:ascii="仿宋" w:hAnsi="仿宋" w:eastAsia="仿宋"/>
          <w:sz w:val="32"/>
          <w:szCs w:val="32"/>
          <w:lang w:val="en-US" w:eastAsia="zh-CN"/>
        </w:rPr>
        <w:t>1.</w:t>
      </w:r>
      <w:r>
        <w:rPr>
          <w:rFonts w:hint="eastAsia" w:ascii="仿宋" w:hAnsi="仿宋" w:eastAsia="仿宋" w:cs="仿宋"/>
          <w:sz w:val="32"/>
          <w:szCs w:val="32"/>
          <w:lang w:eastAsia="zh-CN"/>
        </w:rPr>
        <w:t>本</w:t>
      </w:r>
      <w:r>
        <w:rPr>
          <w:rFonts w:hint="eastAsia" w:ascii="仿宋" w:hAnsi="仿宋" w:eastAsia="仿宋" w:cs="仿宋"/>
          <w:sz w:val="32"/>
          <w:szCs w:val="32"/>
          <w:lang w:val="en-US" w:eastAsia="zh-CN"/>
        </w:rPr>
        <w:t>年2023年因政策性增资以及</w:t>
      </w:r>
      <w:r>
        <w:rPr>
          <w:rFonts w:hint="eastAsia" w:ascii="仿宋" w:hAnsi="仿宋" w:eastAsia="仿宋" w:cs="仿宋"/>
          <w:sz w:val="32"/>
          <w:szCs w:val="32"/>
          <w:lang w:eastAsia="zh-CN"/>
        </w:rPr>
        <w:t>新增在职、退休人员基础绩效奖预算收入，</w:t>
      </w:r>
      <w:r>
        <w:rPr>
          <w:rFonts w:hint="eastAsia" w:ascii="仿宋" w:hAnsi="仿宋" w:eastAsia="仿宋" w:cs="仿宋"/>
          <w:sz w:val="32"/>
          <w:szCs w:val="32"/>
          <w:lang w:val="en-US" w:eastAsia="zh-CN"/>
        </w:rPr>
        <w:t>人员经费较上年增加。2.</w:t>
      </w:r>
      <w:r>
        <w:rPr>
          <w:rFonts w:hint="eastAsia" w:ascii="仿宋" w:hAnsi="仿宋" w:eastAsia="仿宋" w:cs="仿宋"/>
          <w:sz w:val="32"/>
          <w:szCs w:val="32"/>
          <w:lang w:eastAsia="zh-CN"/>
        </w:rPr>
        <w:t>本年新增财政拨款项目，</w:t>
      </w:r>
      <w:r>
        <w:rPr>
          <w:rFonts w:hint="eastAsia" w:ascii="仿宋" w:hAnsi="仿宋" w:eastAsia="仿宋" w:cs="仿宋"/>
          <w:sz w:val="32"/>
          <w:szCs w:val="32"/>
        </w:rPr>
        <w:t>根据项目</w:t>
      </w:r>
      <w:r>
        <w:rPr>
          <w:rFonts w:hint="eastAsia" w:ascii="仿宋" w:hAnsi="仿宋" w:eastAsia="仿宋" w:cs="仿宋"/>
          <w:sz w:val="32"/>
          <w:szCs w:val="32"/>
          <w:lang w:eastAsia="zh-CN"/>
        </w:rPr>
        <w:t>执行进度及</w:t>
      </w:r>
      <w:r>
        <w:rPr>
          <w:rFonts w:hint="eastAsia" w:ascii="仿宋" w:hAnsi="仿宋" w:eastAsia="仿宋" w:cs="仿宋"/>
          <w:sz w:val="32"/>
          <w:szCs w:val="32"/>
        </w:rPr>
        <w:t>开展内容</w:t>
      </w:r>
      <w:r>
        <w:rPr>
          <w:rFonts w:hint="eastAsia" w:ascii="仿宋" w:hAnsi="仿宋" w:eastAsia="仿宋" w:cs="仿宋"/>
          <w:sz w:val="32"/>
          <w:szCs w:val="32"/>
          <w:lang w:eastAsia="zh-CN"/>
        </w:rPr>
        <w:t>，本年</w:t>
      </w:r>
      <w:r>
        <w:rPr>
          <w:rFonts w:hint="eastAsia" w:ascii="仿宋" w:hAnsi="仿宋" w:eastAsia="仿宋" w:cs="仿宋"/>
          <w:sz w:val="32"/>
          <w:szCs w:val="32"/>
        </w:rPr>
        <w:t>项目支出较上年相应增加</w:t>
      </w:r>
      <w:r>
        <w:rPr>
          <w:rFonts w:hint="eastAsia" w:ascii="仿宋" w:hAnsi="仿宋" w:eastAsia="仿宋" w:cs="仿宋"/>
          <w:sz w:val="32"/>
          <w:szCs w:val="32"/>
          <w:lang w:eastAsia="zh-CN"/>
        </w:rPr>
        <w:t>。</w:t>
      </w:r>
      <w:r>
        <w:rPr>
          <w:rFonts w:hint="eastAsia" w:ascii="仿宋" w:hAnsi="仿宋" w:eastAsia="仿宋"/>
          <w:b/>
          <w:bCs/>
          <w:sz w:val="32"/>
          <w:szCs w:val="32"/>
        </w:rPr>
        <w:t>与年初预算相比，</w:t>
      </w:r>
      <w:r>
        <w:rPr>
          <w:rFonts w:hint="eastAsia" w:ascii="仿宋" w:hAnsi="仿宋" w:eastAsia="仿宋"/>
          <w:sz w:val="32"/>
          <w:szCs w:val="32"/>
        </w:rPr>
        <w:t>年初预算数</w:t>
      </w:r>
      <w:r>
        <w:rPr>
          <w:rFonts w:hint="eastAsia" w:ascii="仿宋" w:hAnsi="仿宋" w:eastAsia="仿宋"/>
          <w:sz w:val="32"/>
          <w:szCs w:val="32"/>
          <w:lang w:val="zh-CN"/>
        </w:rPr>
        <w:t>1,813.79</w:t>
      </w:r>
      <w:r>
        <w:rPr>
          <w:rFonts w:hint="eastAsia" w:ascii="仿宋" w:hAnsi="仿宋" w:eastAsia="仿宋"/>
          <w:sz w:val="32"/>
          <w:szCs w:val="32"/>
        </w:rPr>
        <w:t>万元，决算数</w:t>
      </w:r>
      <w:r>
        <w:rPr>
          <w:rFonts w:hint="eastAsia" w:ascii="仿宋" w:hAnsi="仿宋" w:eastAsia="仿宋"/>
          <w:sz w:val="32"/>
          <w:szCs w:val="32"/>
          <w:lang w:val="zh-CN"/>
        </w:rPr>
        <w:t>2,355.82</w:t>
      </w:r>
      <w:r>
        <w:rPr>
          <w:rFonts w:hint="eastAsia" w:ascii="仿宋" w:hAnsi="仿宋" w:eastAsia="仿宋"/>
          <w:sz w:val="32"/>
          <w:szCs w:val="32"/>
        </w:rPr>
        <w:t>万元，预决算差异率29.88%，主要原因是：</w:t>
      </w:r>
      <w:r>
        <w:rPr>
          <w:rFonts w:hint="eastAsia" w:ascii="仿宋" w:hAnsi="仿宋" w:eastAsia="仿宋" w:cs="仿宋"/>
          <w:kern w:val="2"/>
          <w:sz w:val="32"/>
          <w:szCs w:val="32"/>
          <w:lang w:val="en-US" w:eastAsia="zh-CN" w:bidi="ar-SA"/>
        </w:rPr>
        <w:t>1.本年</w:t>
      </w:r>
      <w:r>
        <w:rPr>
          <w:rFonts w:ascii="仿宋_GB2312" w:hAnsi="仿宋_GB2312" w:eastAsia="仿宋_GB2312" w:cs="仿宋_GB2312"/>
          <w:color w:val="000000"/>
          <w:kern w:val="0"/>
          <w:sz w:val="31"/>
          <w:szCs w:val="31"/>
          <w:lang w:val="en-US" w:eastAsia="zh-CN" w:bidi="ar"/>
        </w:rPr>
        <w:t>财政拨款收入中基本支出收入增加，基本支出</w:t>
      </w:r>
      <w:r>
        <w:rPr>
          <w:rFonts w:hint="eastAsia" w:ascii="仿宋_GB2312" w:hAnsi="仿宋_GB2312" w:eastAsia="仿宋_GB2312" w:cs="仿宋_GB2312"/>
          <w:color w:val="000000"/>
          <w:kern w:val="0"/>
          <w:sz w:val="31"/>
          <w:szCs w:val="31"/>
          <w:lang w:val="en-US" w:eastAsia="zh-CN" w:bidi="ar"/>
        </w:rPr>
        <w:t>相应</w:t>
      </w:r>
      <w:r>
        <w:rPr>
          <w:rFonts w:ascii="仿宋_GB2312" w:hAnsi="仿宋_GB2312" w:eastAsia="仿宋_GB2312" w:cs="仿宋_GB2312"/>
          <w:color w:val="000000"/>
          <w:kern w:val="0"/>
          <w:sz w:val="31"/>
          <w:szCs w:val="31"/>
          <w:lang w:val="en-US" w:eastAsia="zh-CN" w:bidi="ar"/>
        </w:rPr>
        <w:t>增加</w:t>
      </w:r>
      <w:r>
        <w:rPr>
          <w:rFonts w:hint="eastAsia" w:ascii="仿宋" w:hAnsi="仿宋" w:eastAsia="仿宋" w:cs="仿宋"/>
          <w:sz w:val="32"/>
          <w:szCs w:val="32"/>
          <w:lang w:eastAsia="zh-CN"/>
        </w:rPr>
        <w:t>。</w:t>
      </w:r>
      <w:r>
        <w:rPr>
          <w:rFonts w:hint="eastAsia" w:ascii="仿宋" w:hAnsi="仿宋" w:eastAsia="仿宋" w:cs="仿宋"/>
          <w:kern w:val="2"/>
          <w:sz w:val="32"/>
          <w:szCs w:val="32"/>
          <w:lang w:val="en-US" w:eastAsia="zh-CN" w:bidi="ar-SA"/>
        </w:rPr>
        <w:t>2.本年追加财政拨款的国家及自治区中医药传承与发展项目经费，项目支出增加。</w:t>
      </w:r>
    </w:p>
    <w:p>
      <w:pPr>
        <w:ind w:firstLine="640" w:firstLineChars="200"/>
        <w:jc w:val="left"/>
        <w:outlineLvl w:val="1"/>
        <w:rPr>
          <w:rFonts w:hint="eastAsia" w:ascii="黑体" w:hAnsi="黑体" w:eastAsia="黑体" w:cs="黑体"/>
          <w:bCs/>
          <w:kern w:val="0"/>
          <w:sz w:val="32"/>
          <w:szCs w:val="32"/>
        </w:rPr>
      </w:pPr>
      <w:bookmarkStart w:id="16" w:name="_Toc13833"/>
      <w:bookmarkStart w:id="17" w:name="_Toc20360"/>
      <w:r>
        <w:rPr>
          <w:rFonts w:hint="eastAsia" w:ascii="黑体" w:hAnsi="黑体" w:eastAsia="黑体" w:cs="黑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cs="黑体"/>
          <w:b w:val="0"/>
          <w:bCs w:val="0"/>
          <w:sz w:val="32"/>
          <w:szCs w:val="32"/>
        </w:rPr>
      </w:pPr>
      <w:r>
        <w:rPr>
          <w:rFonts w:hint="eastAsia" w:ascii="黑体" w:hAnsi="黑体" w:eastAsia="黑体" w:cs="黑体"/>
          <w:b w:val="0"/>
          <w:bCs w:val="0"/>
          <w:sz w:val="32"/>
          <w:szCs w:val="32"/>
        </w:rPr>
        <w:t>（一）一般公共预算财政拨款支出决算总体情况</w:t>
      </w:r>
    </w:p>
    <w:p>
      <w:pPr>
        <w:keepNext w:val="0"/>
        <w:keepLines w:val="0"/>
        <w:pageBreakBefore w:val="0"/>
        <w:widowControl w:val="0"/>
        <w:kinsoku/>
        <w:wordWrap/>
        <w:overflowPunct/>
        <w:topLinePunct w:val="0"/>
        <w:autoSpaceDE/>
        <w:autoSpaceDN/>
        <w:bidi w:val="0"/>
        <w:adjustRightInd/>
        <w:snapToGrid w:val="0"/>
        <w:spacing w:line="360" w:lineRule="auto"/>
        <w:ind w:firstLine="643" w:firstLineChars="200"/>
        <w:jc w:val="both"/>
        <w:textAlignment w:val="auto"/>
        <w:rPr>
          <w:rFonts w:hint="eastAsia" w:ascii="仿宋" w:hAnsi="仿宋" w:eastAsia="仿宋"/>
          <w:sz w:val="32"/>
          <w:szCs w:val="32"/>
        </w:rPr>
      </w:pPr>
      <w:r>
        <w:rPr>
          <w:rFonts w:hint="eastAsia" w:ascii="仿宋" w:hAnsi="仿宋" w:eastAsia="仿宋"/>
          <w:b/>
          <w:bCs/>
          <w:sz w:val="32"/>
          <w:szCs w:val="32"/>
        </w:rPr>
        <w:t>2023年度一般公共预算财政拨款支出2,355.82万元，</w:t>
      </w:r>
      <w:r>
        <w:rPr>
          <w:rFonts w:hint="eastAsia" w:ascii="仿宋" w:hAnsi="仿宋" w:eastAsia="仿宋"/>
          <w:sz w:val="32"/>
          <w:szCs w:val="32"/>
        </w:rPr>
        <w:t>占本年支出合计的</w:t>
      </w:r>
      <w:r>
        <w:rPr>
          <w:rFonts w:hint="eastAsia" w:ascii="仿宋" w:hAnsi="仿宋" w:eastAsia="仿宋"/>
          <w:sz w:val="32"/>
          <w:szCs w:val="32"/>
          <w:lang w:val="zh-CN"/>
        </w:rPr>
        <w:t>67.41%</w:t>
      </w:r>
      <w:r>
        <w:rPr>
          <w:rFonts w:hint="eastAsia" w:ascii="仿宋" w:hAnsi="仿宋" w:eastAsia="仿宋"/>
          <w:sz w:val="32"/>
          <w:szCs w:val="32"/>
        </w:rPr>
        <w:t>。</w:t>
      </w:r>
      <w:r>
        <w:rPr>
          <w:rFonts w:hint="eastAsia" w:ascii="仿宋" w:hAnsi="仿宋" w:eastAsia="仿宋"/>
          <w:b/>
          <w:bCs/>
          <w:sz w:val="32"/>
          <w:szCs w:val="32"/>
        </w:rPr>
        <w:t>与上年相比，</w:t>
      </w:r>
      <w:r>
        <w:rPr>
          <w:rFonts w:hint="eastAsia" w:ascii="仿宋" w:hAnsi="仿宋" w:eastAsia="仿宋"/>
          <w:sz w:val="32"/>
          <w:szCs w:val="32"/>
          <w:lang w:val="zh-CN"/>
        </w:rPr>
        <w:t>增加606.01万元</w:t>
      </w:r>
      <w:r>
        <w:rPr>
          <w:rFonts w:hint="eastAsia" w:ascii="仿宋" w:hAnsi="仿宋" w:eastAsia="仿宋"/>
          <w:sz w:val="32"/>
          <w:szCs w:val="32"/>
        </w:rPr>
        <w:t>，增长34.63%,主要原因是：</w:t>
      </w:r>
      <w:r>
        <w:rPr>
          <w:rFonts w:hint="eastAsia" w:ascii="仿宋" w:hAnsi="仿宋" w:eastAsia="仿宋"/>
          <w:sz w:val="32"/>
          <w:szCs w:val="32"/>
          <w:lang w:val="en-US" w:eastAsia="zh-CN"/>
        </w:rPr>
        <w:t>本年财政拨款增加</w:t>
      </w:r>
      <w:r>
        <w:rPr>
          <w:rFonts w:hint="eastAsia" w:ascii="仿宋" w:hAnsi="仿宋" w:eastAsia="仿宋" w:cs="仿宋"/>
          <w:sz w:val="32"/>
          <w:szCs w:val="32"/>
          <w:lang w:eastAsia="zh-CN"/>
        </w:rPr>
        <w:t>在职、退休人员基础绩效奖</w:t>
      </w:r>
      <w:r>
        <w:rPr>
          <w:rFonts w:hint="eastAsia" w:ascii="仿宋" w:hAnsi="仿宋" w:eastAsia="仿宋" w:cs="仿宋"/>
          <w:sz w:val="32"/>
          <w:szCs w:val="32"/>
          <w:lang w:val="en-US" w:eastAsia="zh-CN"/>
        </w:rPr>
        <w:t>以及政策性调资等人员经费，导致基本支出较上年增加。另外，</w:t>
      </w:r>
      <w:r>
        <w:rPr>
          <w:rFonts w:hint="eastAsia" w:ascii="仿宋" w:hAnsi="仿宋" w:eastAsia="仿宋" w:cs="仿宋"/>
          <w:sz w:val="32"/>
          <w:szCs w:val="32"/>
          <w:lang w:eastAsia="zh-CN"/>
        </w:rPr>
        <w:t>本年新增国家及自治区中医药（民族药）专项项目</w:t>
      </w:r>
      <w:r>
        <w:rPr>
          <w:rFonts w:hint="eastAsia" w:ascii="仿宋" w:hAnsi="仿宋" w:eastAsia="仿宋" w:cs="仿宋"/>
          <w:sz w:val="32"/>
          <w:szCs w:val="32"/>
          <w:lang w:val="en-US" w:eastAsia="zh-CN"/>
        </w:rPr>
        <w:t>，项目支出较上年增加。</w:t>
      </w:r>
      <w:r>
        <w:rPr>
          <w:rFonts w:hint="eastAsia" w:ascii="仿宋" w:hAnsi="仿宋" w:eastAsia="仿宋"/>
          <w:b/>
          <w:bCs/>
          <w:sz w:val="32"/>
          <w:szCs w:val="32"/>
        </w:rPr>
        <w:t>与年初预算相比，</w:t>
      </w:r>
      <w:r>
        <w:rPr>
          <w:rFonts w:hint="eastAsia" w:ascii="仿宋" w:hAnsi="仿宋" w:eastAsia="仿宋"/>
          <w:sz w:val="32"/>
          <w:szCs w:val="32"/>
        </w:rPr>
        <w:t>年初预算数</w:t>
      </w:r>
      <w:r>
        <w:rPr>
          <w:rFonts w:hint="eastAsia" w:ascii="仿宋" w:hAnsi="仿宋" w:eastAsia="仿宋"/>
          <w:sz w:val="32"/>
          <w:szCs w:val="32"/>
          <w:lang w:val="zh-CN"/>
        </w:rPr>
        <w:t>1,813.79</w:t>
      </w:r>
      <w:r>
        <w:rPr>
          <w:rFonts w:hint="eastAsia" w:ascii="仿宋" w:hAnsi="仿宋" w:eastAsia="仿宋"/>
          <w:sz w:val="32"/>
          <w:szCs w:val="32"/>
        </w:rPr>
        <w:t>万元，决算数</w:t>
      </w:r>
      <w:r>
        <w:rPr>
          <w:rFonts w:hint="eastAsia" w:ascii="仿宋" w:hAnsi="仿宋" w:eastAsia="仿宋"/>
          <w:sz w:val="32"/>
          <w:szCs w:val="32"/>
          <w:lang w:val="zh-CN"/>
        </w:rPr>
        <w:t>2,355.82</w:t>
      </w:r>
      <w:r>
        <w:rPr>
          <w:rFonts w:hint="eastAsia" w:ascii="仿宋" w:hAnsi="仿宋" w:eastAsia="仿宋"/>
          <w:sz w:val="32"/>
          <w:szCs w:val="32"/>
        </w:rPr>
        <w:t>万元，预决算差异率</w:t>
      </w:r>
      <w:r>
        <w:rPr>
          <w:rFonts w:hint="eastAsia" w:ascii="仿宋" w:hAnsi="仿宋" w:eastAsia="仿宋"/>
          <w:sz w:val="32"/>
          <w:szCs w:val="32"/>
          <w:lang w:val="zh-CN"/>
        </w:rPr>
        <w:t>29.88%</w:t>
      </w:r>
      <w:r>
        <w:rPr>
          <w:rFonts w:hint="eastAsia" w:ascii="仿宋" w:hAnsi="仿宋" w:eastAsia="仿宋"/>
          <w:sz w:val="32"/>
          <w:szCs w:val="32"/>
        </w:rPr>
        <w:t>，主要原因是：</w:t>
      </w:r>
      <w:r>
        <w:rPr>
          <w:rFonts w:hint="eastAsia" w:ascii="仿宋" w:hAnsi="仿宋" w:eastAsia="仿宋"/>
          <w:sz w:val="32"/>
          <w:szCs w:val="32"/>
          <w:lang w:val="en-US" w:eastAsia="zh-CN"/>
        </w:rPr>
        <w:t>1.本年追加</w:t>
      </w:r>
      <w:r>
        <w:rPr>
          <w:rFonts w:hint="eastAsia" w:ascii="仿宋" w:hAnsi="仿宋" w:eastAsia="仿宋"/>
          <w:sz w:val="32"/>
          <w:szCs w:val="32"/>
          <w:lang w:eastAsia="zh-CN"/>
        </w:rPr>
        <w:t>在职和退休人员提高基础绩效奖、政策性薪资调增、年度考核奖等人员经费，</w:t>
      </w:r>
      <w:r>
        <w:rPr>
          <w:rFonts w:hint="eastAsia" w:ascii="仿宋" w:hAnsi="仿宋" w:eastAsia="仿宋"/>
          <w:sz w:val="32"/>
          <w:szCs w:val="32"/>
          <w:lang w:val="en-US" w:eastAsia="zh-CN"/>
        </w:rPr>
        <w:t>基本支出收入增加。2.本年新增国家及自治区级财政科研项目立项数量，项目收入增加,项目支出同比增加。</w:t>
      </w:r>
    </w:p>
    <w:p>
      <w:pPr>
        <w:numPr>
          <w:ilvl w:val="0"/>
          <w:numId w:val="1"/>
        </w:numPr>
        <w:ind w:firstLine="640" w:firstLineChars="200"/>
        <w:jc w:val="left"/>
        <w:outlineLvl w:val="2"/>
        <w:rPr>
          <w:rFonts w:hint="eastAsia" w:ascii="黑体" w:hAnsi="黑体" w:eastAsia="黑体" w:cs="黑体"/>
          <w:sz w:val="32"/>
          <w:szCs w:val="32"/>
        </w:rPr>
      </w:pPr>
      <w:r>
        <w:rPr>
          <w:rFonts w:hint="eastAsia" w:ascii="黑体" w:hAnsi="黑体" w:eastAsia="黑体" w:cs="黑体"/>
          <w:sz w:val="32"/>
          <w:szCs w:val="32"/>
        </w:rPr>
        <w:t>一般公共预算财政拨款支出决算结构情况</w:t>
      </w:r>
    </w:p>
    <w:p>
      <w:pPr>
        <w:pStyle w:val="8"/>
        <w:widowControl/>
        <w:spacing w:before="0" w:beforeAutospacing="0" w:after="0" w:afterAutospacing="0"/>
        <w:ind w:firstLine="640" w:firstLineChars="200"/>
        <w:rPr>
          <w:rFonts w:ascii="仿宋" w:hAnsi="仿宋" w:eastAsia="仿宋"/>
          <w:kern w:val="2"/>
          <w:sz w:val="32"/>
          <w:szCs w:val="32"/>
        </w:rPr>
      </w:pPr>
      <w:r>
        <w:rPr>
          <w:rFonts w:ascii="仿宋" w:hAnsi="仿宋" w:eastAsia="仿宋"/>
          <w:kern w:val="2"/>
          <w:sz w:val="32"/>
          <w:szCs w:val="32"/>
          <w:lang w:val="zh-CN"/>
        </w:rPr>
        <w:t>1.科学技术支出（类）</w:t>
      </w:r>
      <w:r>
        <w:rPr>
          <w:rFonts w:hint="eastAsia" w:ascii="仿宋" w:hAnsi="仿宋" w:eastAsia="仿宋"/>
          <w:kern w:val="2"/>
          <w:sz w:val="32"/>
          <w:szCs w:val="32"/>
          <w:lang w:val="zh-CN"/>
        </w:rPr>
        <w:t>2,002.03</w:t>
      </w:r>
      <w:r>
        <w:rPr>
          <w:rFonts w:ascii="仿宋" w:hAnsi="仿宋" w:eastAsia="仿宋"/>
          <w:kern w:val="2"/>
          <w:sz w:val="32"/>
          <w:szCs w:val="32"/>
          <w:lang w:val="zh-CN"/>
        </w:rPr>
        <w:t>万元，占</w:t>
      </w:r>
      <w:r>
        <w:rPr>
          <w:rFonts w:hint="eastAsia" w:ascii="仿宋" w:hAnsi="仿宋" w:eastAsia="仿宋"/>
          <w:kern w:val="2"/>
          <w:sz w:val="32"/>
          <w:szCs w:val="32"/>
          <w:lang w:val="zh-CN"/>
        </w:rPr>
        <w:t>84.98</w:t>
      </w:r>
      <w:r>
        <w:rPr>
          <w:rFonts w:ascii="仿宋" w:hAnsi="仿宋" w:eastAsia="仿宋"/>
          <w:kern w:val="2"/>
          <w:sz w:val="32"/>
          <w:szCs w:val="32"/>
        </w:rPr>
        <w:t>%；</w:t>
      </w:r>
    </w:p>
    <w:p>
      <w:pPr>
        <w:pStyle w:val="8"/>
        <w:widowControl/>
        <w:spacing w:before="0" w:beforeAutospacing="0" w:after="0" w:afterAutospacing="0"/>
        <w:ind w:firstLine="640" w:firstLineChars="200"/>
        <w:rPr>
          <w:rFonts w:ascii="仿宋" w:hAnsi="仿宋" w:eastAsia="仿宋"/>
          <w:kern w:val="2"/>
          <w:sz w:val="32"/>
          <w:szCs w:val="32"/>
          <w:lang w:val="zh-CN"/>
        </w:rPr>
      </w:pPr>
      <w:r>
        <w:rPr>
          <w:rFonts w:hint="eastAsia" w:ascii="仿宋" w:hAnsi="仿宋" w:eastAsia="仿宋"/>
          <w:kern w:val="2"/>
          <w:sz w:val="32"/>
          <w:szCs w:val="32"/>
          <w:lang w:val="en-US" w:eastAsia="zh-CN"/>
        </w:rPr>
        <w:t>2</w:t>
      </w:r>
      <w:r>
        <w:rPr>
          <w:rFonts w:ascii="仿宋" w:hAnsi="仿宋" w:eastAsia="仿宋"/>
          <w:kern w:val="2"/>
          <w:sz w:val="32"/>
          <w:szCs w:val="32"/>
          <w:lang w:val="zh-CN"/>
        </w:rPr>
        <w:t>.卫生健康支出（类）</w:t>
      </w:r>
      <w:r>
        <w:rPr>
          <w:rFonts w:hint="eastAsia" w:ascii="仿宋" w:hAnsi="仿宋" w:eastAsia="仿宋"/>
          <w:kern w:val="2"/>
          <w:sz w:val="32"/>
          <w:szCs w:val="32"/>
          <w:lang w:val="zh-CN"/>
        </w:rPr>
        <w:t>353.78</w:t>
      </w:r>
      <w:r>
        <w:rPr>
          <w:rFonts w:ascii="仿宋" w:hAnsi="仿宋" w:eastAsia="仿宋"/>
          <w:kern w:val="2"/>
          <w:sz w:val="32"/>
          <w:szCs w:val="32"/>
          <w:lang w:val="zh-CN"/>
        </w:rPr>
        <w:t>万元，占</w:t>
      </w:r>
      <w:r>
        <w:rPr>
          <w:rFonts w:hint="eastAsia" w:ascii="仿宋" w:hAnsi="仿宋" w:eastAsia="仿宋"/>
          <w:kern w:val="2"/>
          <w:sz w:val="32"/>
          <w:szCs w:val="32"/>
          <w:lang w:val="zh-CN"/>
        </w:rPr>
        <w:t>15.02</w:t>
      </w:r>
      <w:r>
        <w:rPr>
          <w:rFonts w:ascii="仿宋" w:hAnsi="仿宋" w:eastAsia="仿宋"/>
          <w:kern w:val="2"/>
          <w:sz w:val="32"/>
          <w:szCs w:val="32"/>
          <w:lang w:val="zh-CN"/>
        </w:rPr>
        <w:t>%</w:t>
      </w:r>
      <w:r>
        <w:rPr>
          <w:rFonts w:hint="eastAsia" w:ascii="仿宋" w:hAnsi="仿宋" w:eastAsia="仿宋"/>
          <w:kern w:val="2"/>
          <w:sz w:val="32"/>
          <w:szCs w:val="32"/>
          <w:lang w:val="zh-CN"/>
        </w:rPr>
        <w:t>。</w:t>
      </w:r>
    </w:p>
    <w:p>
      <w:pPr>
        <w:ind w:firstLine="640" w:firstLineChars="200"/>
        <w:jc w:val="left"/>
        <w:outlineLvl w:val="2"/>
        <w:rPr>
          <w:rFonts w:hint="eastAsia" w:ascii="黑体" w:hAnsi="黑体" w:eastAsia="黑体" w:cs="黑体"/>
          <w:sz w:val="32"/>
          <w:szCs w:val="32"/>
        </w:rPr>
      </w:pPr>
      <w:r>
        <w:rPr>
          <w:rFonts w:hint="eastAsia" w:ascii="黑体" w:hAnsi="黑体" w:eastAsia="黑体" w:cs="黑体"/>
          <w:sz w:val="32"/>
          <w:szCs w:val="32"/>
        </w:rPr>
        <w:t>（三）一般公共预算财政拨款支出决算具体情况</w:t>
      </w:r>
    </w:p>
    <w:p>
      <w:pPr>
        <w:ind w:firstLine="640" w:firstLineChars="200"/>
        <w:rPr>
          <w:rFonts w:ascii="仿宋" w:hAnsi="仿宋" w:eastAsia="仿宋"/>
          <w:sz w:val="32"/>
          <w:szCs w:val="32"/>
          <w:lang w:val="zh-CN"/>
        </w:rPr>
      </w:pPr>
      <w:r>
        <w:rPr>
          <w:rFonts w:hint="eastAsia" w:ascii="仿宋" w:hAnsi="仿宋" w:eastAsia="仿宋"/>
          <w:sz w:val="32"/>
          <w:szCs w:val="32"/>
        </w:rPr>
        <w:t>1.科学技术支出（类）基础研究（款）自然科学基金（项）:支出决算数为310.00万元，比上年决算增加310.00万元，增长100%，主要原因是：</w:t>
      </w:r>
      <w:r>
        <w:rPr>
          <w:rFonts w:hint="eastAsia" w:ascii="仿宋" w:hAnsi="仿宋" w:eastAsia="仿宋" w:cs="仿宋"/>
          <w:sz w:val="32"/>
          <w:szCs w:val="32"/>
          <w:lang w:val="en-US" w:eastAsia="zh-CN"/>
        </w:rPr>
        <w:t>本年自然科学基金项目立项数量增加，收入较上年有所增加，导致</w:t>
      </w:r>
      <w:r>
        <w:rPr>
          <w:rFonts w:hint="eastAsia" w:ascii="仿宋" w:hAnsi="仿宋" w:eastAsia="仿宋"/>
          <w:sz w:val="32"/>
          <w:szCs w:val="32"/>
        </w:rPr>
        <w:t>科学技术支出（类）基础研究（款）自然科学基金（项）</w:t>
      </w:r>
      <w:r>
        <w:rPr>
          <w:rFonts w:hint="eastAsia" w:ascii="仿宋" w:hAnsi="仿宋" w:eastAsia="仿宋" w:cs="仿宋"/>
          <w:sz w:val="32"/>
          <w:szCs w:val="32"/>
          <w:lang w:val="en-US" w:eastAsia="zh-CN"/>
        </w:rPr>
        <w:t>支出增加。</w:t>
      </w:r>
    </w:p>
    <w:p>
      <w:pPr>
        <w:ind w:firstLine="640" w:firstLineChars="200"/>
        <w:rPr>
          <w:rFonts w:hint="eastAsia" w:ascii="仿宋" w:hAnsi="仿宋" w:eastAsia="仿宋" w:cs="仿宋"/>
          <w:sz w:val="32"/>
          <w:szCs w:val="32"/>
          <w:lang w:eastAsia="zh-CN"/>
        </w:rPr>
      </w:pPr>
      <w:r>
        <w:rPr>
          <w:rFonts w:hint="eastAsia" w:ascii="仿宋" w:hAnsi="仿宋" w:eastAsia="仿宋"/>
          <w:sz w:val="32"/>
          <w:szCs w:val="32"/>
        </w:rPr>
        <w:t>2.科学技术支出（类）应用研究（款）机构运行（项）:支出决算数为1,692.03万元，比上年决算增加146.04万元，增长9.45%，主要原因是：</w:t>
      </w:r>
      <w:r>
        <w:rPr>
          <w:rFonts w:hint="eastAsia" w:ascii="仿宋" w:hAnsi="仿宋" w:eastAsia="仿宋" w:cs="仿宋"/>
          <w:kern w:val="2"/>
          <w:sz w:val="32"/>
          <w:szCs w:val="32"/>
          <w:lang w:val="en-US" w:eastAsia="zh-CN" w:bidi="ar-SA"/>
        </w:rPr>
        <w:t>本年机构运行中由于</w:t>
      </w:r>
      <w:r>
        <w:rPr>
          <w:rFonts w:hint="eastAsia" w:ascii="仿宋" w:hAnsi="仿宋" w:eastAsia="仿宋" w:cs="仿宋"/>
          <w:sz w:val="32"/>
          <w:szCs w:val="32"/>
          <w:lang w:eastAsia="zh-CN"/>
        </w:rPr>
        <w:t>追加在职和退休人员提高基础绩效奖、政策性薪资调增、年度考核奖，等</w:t>
      </w:r>
      <w:r>
        <w:rPr>
          <w:rFonts w:hint="eastAsia" w:ascii="仿宋" w:hAnsi="仿宋" w:eastAsia="仿宋" w:cs="仿宋"/>
          <w:sz w:val="32"/>
          <w:szCs w:val="32"/>
          <w:lang w:val="en-US" w:eastAsia="zh-CN"/>
        </w:rPr>
        <w:t>人员经费</w:t>
      </w:r>
      <w:r>
        <w:rPr>
          <w:rFonts w:hint="eastAsia" w:ascii="仿宋" w:hAnsi="仿宋" w:eastAsia="仿宋" w:cs="仿宋"/>
          <w:sz w:val="32"/>
          <w:szCs w:val="32"/>
          <w:lang w:eastAsia="zh-CN"/>
        </w:rPr>
        <w:t>，导致财政拨款收入中基本支出收入增加。</w:t>
      </w:r>
    </w:p>
    <w:p>
      <w:pPr>
        <w:pStyle w:val="15"/>
        <w:keepNext w:val="0"/>
        <w:keepLines w:val="0"/>
        <w:pageBreakBefore w:val="0"/>
        <w:widowControl w:val="0"/>
        <w:kinsoku/>
        <w:wordWrap/>
        <w:overflowPunct/>
        <w:topLinePunct w:val="0"/>
        <w:autoSpaceDE/>
        <w:autoSpaceDN/>
        <w:bidi w:val="0"/>
        <w:adjustRightInd/>
        <w:snapToGrid/>
        <w:spacing w:line="360" w:lineRule="auto"/>
        <w:ind w:firstLine="578" w:firstLineChars="0"/>
        <w:jc w:val="both"/>
        <w:textAlignment w:val="auto"/>
        <w:rPr>
          <w:rFonts w:hint="eastAsia" w:ascii="仿宋" w:hAnsi="仿宋" w:eastAsia="仿宋" w:cs="仿宋"/>
          <w:kern w:val="2"/>
          <w:sz w:val="32"/>
          <w:szCs w:val="32"/>
          <w:lang w:val="en-US" w:eastAsia="zh-CN" w:bidi="ar-SA"/>
        </w:rPr>
      </w:pPr>
      <w:r>
        <w:rPr>
          <w:rFonts w:hint="eastAsia" w:ascii="仿宋" w:hAnsi="仿宋" w:eastAsia="仿宋"/>
          <w:sz w:val="32"/>
          <w:szCs w:val="32"/>
        </w:rPr>
        <w:t>3.卫生健康支出（类）中医药（款）中医（民族医）药专项（项）:支出决算数为353.78万元，比上年决算增加151.57万元，增长74.95%，主要原因是：</w:t>
      </w:r>
      <w:r>
        <w:rPr>
          <w:rFonts w:hint="eastAsia" w:ascii="仿宋" w:hAnsi="仿宋" w:eastAsia="仿宋" w:cs="仿宋"/>
          <w:kern w:val="2"/>
          <w:sz w:val="32"/>
          <w:szCs w:val="32"/>
          <w:lang w:val="en-US" w:eastAsia="zh-CN" w:bidi="ar-SA"/>
        </w:rPr>
        <w:t>本年财政拨款的国家及自治区中医药传承与发展项目经费较上年增加。</w:t>
      </w:r>
    </w:p>
    <w:p>
      <w:pPr>
        <w:ind w:firstLine="640" w:firstLineChars="200"/>
        <w:rPr>
          <w:rFonts w:ascii="仿宋" w:hAnsi="仿宋" w:eastAsia="仿宋"/>
          <w:sz w:val="32"/>
          <w:szCs w:val="32"/>
          <w:lang w:val="zh-CN"/>
        </w:rPr>
      </w:pPr>
      <w:r>
        <w:rPr>
          <w:rFonts w:hint="eastAsia" w:ascii="仿宋" w:hAnsi="仿宋" w:eastAsia="仿宋"/>
          <w:sz w:val="32"/>
          <w:szCs w:val="32"/>
        </w:rPr>
        <w:t>4.科学技术支出（类）其他科学技术支出（款）其他科学技术支出（项）:支出决算数为0.00万元，比上年决算减少1.60万元，下降100%，主要原因是：</w:t>
      </w:r>
      <w:r>
        <w:rPr>
          <w:rFonts w:hint="eastAsia" w:ascii="仿宋" w:hAnsi="仿宋" w:eastAsia="仿宋" w:cs="仿宋"/>
          <w:kern w:val="2"/>
          <w:sz w:val="32"/>
          <w:szCs w:val="32"/>
          <w:lang w:val="en-US" w:eastAsia="zh-CN" w:bidi="ar-SA"/>
        </w:rPr>
        <w:t>本年财政拨款无其他科学技术支出项目经费。</w:t>
      </w:r>
    </w:p>
    <w:p>
      <w:pPr>
        <w:ind w:firstLine="640" w:firstLineChars="200"/>
        <w:jc w:val="left"/>
        <w:outlineLvl w:val="1"/>
        <w:rPr>
          <w:rFonts w:hint="eastAsia" w:ascii="黑体" w:hAnsi="黑体" w:eastAsia="黑体" w:cs="黑体"/>
          <w:b w:val="0"/>
          <w:bCs/>
          <w:kern w:val="0"/>
          <w:sz w:val="32"/>
          <w:szCs w:val="32"/>
        </w:rPr>
      </w:pPr>
      <w:r>
        <w:rPr>
          <w:rFonts w:hint="eastAsia" w:ascii="黑体" w:hAnsi="黑体" w:eastAsia="黑体" w:cs="黑体"/>
          <w:b w:val="0"/>
          <w:bCs/>
          <w:kern w:val="0"/>
          <w:sz w:val="32"/>
          <w:szCs w:val="32"/>
        </w:rPr>
        <w:t>六、一般公共预算财政拨款基本支出决算情况说明</w:t>
      </w:r>
    </w:p>
    <w:p>
      <w:pPr>
        <w:ind w:firstLine="640" w:firstLineChars="200"/>
        <w:jc w:val="left"/>
        <w:rPr>
          <w:rFonts w:ascii="仿宋" w:hAnsi="仿宋" w:eastAsia="仿宋"/>
          <w:sz w:val="32"/>
          <w:szCs w:val="32"/>
        </w:rPr>
      </w:pPr>
      <w:r>
        <w:rPr>
          <w:rFonts w:hint="eastAsia" w:ascii="仿宋" w:hAnsi="仿宋" w:eastAsia="仿宋"/>
          <w:sz w:val="32"/>
          <w:szCs w:val="32"/>
        </w:rPr>
        <w:t>2023年度一般公共预算财政拨款基本支出1,692.03万元，其中：</w:t>
      </w:r>
      <w:r>
        <w:rPr>
          <w:rFonts w:hint="eastAsia" w:ascii="仿宋" w:hAnsi="仿宋" w:eastAsia="仿宋"/>
          <w:b/>
          <w:bCs/>
          <w:sz w:val="32"/>
          <w:szCs w:val="32"/>
        </w:rPr>
        <w:t>人员经费1,587.48万元，</w:t>
      </w:r>
      <w:r>
        <w:rPr>
          <w:rFonts w:hint="eastAsia" w:ascii="仿宋" w:hAnsi="仿宋" w:eastAsia="仿宋"/>
          <w:sz w:val="32"/>
          <w:szCs w:val="32"/>
        </w:rPr>
        <w:t>包括：基本工资、津贴补贴、奖金、绩效工资、机关事业单位基本养老保险缴费、职业年金缴费、职工基本医疗保险缴费、公务员医疗补助缴费、其他社会保障缴费、住房公积金、其他工资福利支出、退休费、抚恤金、其他对个人和家庭的补助。</w:t>
      </w:r>
    </w:p>
    <w:p>
      <w:pPr>
        <w:ind w:firstLine="643" w:firstLineChars="200"/>
        <w:jc w:val="left"/>
        <w:rPr>
          <w:rFonts w:hint="eastAsia" w:ascii="仿宋" w:hAnsi="仿宋" w:eastAsia="仿宋"/>
          <w:sz w:val="32"/>
          <w:szCs w:val="32"/>
          <w:highlight w:val="red"/>
          <w:lang w:eastAsia="zh-CN"/>
        </w:rPr>
      </w:pPr>
      <w:r>
        <w:rPr>
          <w:rFonts w:hint="eastAsia" w:ascii="仿宋" w:hAnsi="仿宋" w:eastAsia="仿宋"/>
          <w:b/>
          <w:bCs/>
          <w:sz w:val="32"/>
          <w:szCs w:val="32"/>
        </w:rPr>
        <w:t>公用经费104.55万元，</w:t>
      </w:r>
      <w:r>
        <w:rPr>
          <w:rFonts w:hint="eastAsia" w:ascii="仿宋" w:hAnsi="仿宋" w:eastAsia="仿宋"/>
          <w:sz w:val="32"/>
          <w:szCs w:val="32"/>
        </w:rPr>
        <w:t>包括：办公费、水费、电费、邮电费、取暖费、物业管理费、差旅费、公务接待费、工会经费、福利费、公务用车运行维护费、其他交通费用、其他商品和服务支出</w:t>
      </w:r>
      <w:r>
        <w:rPr>
          <w:rFonts w:hint="eastAsia" w:ascii="仿宋" w:hAnsi="仿宋" w:eastAsia="仿宋"/>
          <w:sz w:val="32"/>
          <w:szCs w:val="32"/>
          <w:lang w:eastAsia="zh-CN"/>
        </w:rPr>
        <w:t>。</w:t>
      </w:r>
    </w:p>
    <w:p>
      <w:pPr>
        <w:ind w:firstLine="640" w:firstLineChars="200"/>
        <w:jc w:val="left"/>
        <w:outlineLvl w:val="1"/>
        <w:rPr>
          <w:rFonts w:hint="eastAsia" w:ascii="黑体" w:hAnsi="黑体" w:eastAsia="黑体" w:cs="黑体"/>
          <w:bCs/>
          <w:kern w:val="0"/>
          <w:sz w:val="32"/>
          <w:szCs w:val="32"/>
        </w:rPr>
      </w:pPr>
      <w:r>
        <w:rPr>
          <w:rFonts w:hint="eastAsia" w:ascii="黑体" w:hAnsi="黑体" w:eastAsia="黑体" w:cs="黑体"/>
          <w:bCs/>
          <w:kern w:val="0"/>
          <w:sz w:val="32"/>
          <w:szCs w:val="32"/>
        </w:rPr>
        <w:t>七、财政拨款“三公”经费支出决算情况说明</w:t>
      </w:r>
    </w:p>
    <w:p>
      <w:pPr>
        <w:keepNext w:val="0"/>
        <w:keepLines w:val="0"/>
        <w:pageBreakBefore w:val="0"/>
        <w:widowControl w:val="0"/>
        <w:kinsoku/>
        <w:wordWrap/>
        <w:overflowPunct/>
        <w:topLinePunct w:val="0"/>
        <w:autoSpaceDE/>
        <w:autoSpaceDN/>
        <w:bidi w:val="0"/>
        <w:adjustRightInd/>
        <w:snapToGrid w:val="0"/>
        <w:spacing w:line="360" w:lineRule="auto"/>
        <w:ind w:firstLine="643" w:firstLineChars="200"/>
        <w:textAlignment w:val="auto"/>
        <w:rPr>
          <w:rFonts w:ascii="仿宋" w:hAnsi="仿宋" w:eastAsia="仿宋"/>
          <w:sz w:val="32"/>
          <w:szCs w:val="32"/>
          <w:lang w:val="zh-CN"/>
        </w:rPr>
      </w:pPr>
      <w:r>
        <w:rPr>
          <w:rFonts w:hint="eastAsia" w:ascii="仿宋" w:hAnsi="仿宋" w:eastAsia="仿宋"/>
          <w:b/>
          <w:bCs/>
          <w:sz w:val="32"/>
          <w:szCs w:val="32"/>
          <w:lang w:val="zh-CN"/>
        </w:rPr>
        <w:t>2023年度</w:t>
      </w:r>
      <w:r>
        <w:rPr>
          <w:rFonts w:hint="eastAsia" w:ascii="仿宋" w:hAnsi="仿宋" w:eastAsia="仿宋"/>
          <w:b/>
          <w:bCs/>
          <w:sz w:val="32"/>
          <w:szCs w:val="32"/>
        </w:rPr>
        <w:t>财政拨款</w:t>
      </w:r>
      <w:r>
        <w:rPr>
          <w:rFonts w:hint="eastAsia" w:ascii="仿宋" w:hAnsi="仿宋" w:eastAsia="仿宋"/>
          <w:b/>
          <w:bCs/>
          <w:sz w:val="32"/>
          <w:szCs w:val="32"/>
          <w:lang w:val="zh-CN"/>
        </w:rPr>
        <w:t>“三公”经费支出2.80万元，</w:t>
      </w:r>
      <w:r>
        <w:rPr>
          <w:rFonts w:hint="eastAsia" w:ascii="仿宋" w:hAnsi="仿宋" w:eastAsia="仿宋"/>
          <w:sz w:val="32"/>
          <w:szCs w:val="32"/>
        </w:rPr>
        <w:t>比上年</w:t>
      </w:r>
      <w:r>
        <w:rPr>
          <w:rFonts w:hint="eastAsia" w:ascii="仿宋" w:hAnsi="仿宋" w:eastAsia="仿宋"/>
          <w:sz w:val="32"/>
          <w:szCs w:val="32"/>
          <w:lang w:val="zh-CN"/>
        </w:rPr>
        <w:t>减少</w:t>
      </w:r>
      <w:r>
        <w:rPr>
          <w:rFonts w:hint="eastAsia" w:ascii="仿宋_GB2312" w:eastAsia="仿宋_GB2312"/>
          <w:color w:val="auto"/>
          <w:sz w:val="32"/>
          <w:szCs w:val="32"/>
          <w:highlight w:val="none"/>
          <w:lang w:val="zh-CN" w:eastAsia="zh-CN"/>
        </w:rPr>
        <w:t>0.67</w:t>
      </w:r>
      <w:r>
        <w:rPr>
          <w:rFonts w:hint="eastAsia" w:ascii="仿宋" w:hAnsi="仿宋" w:eastAsia="仿宋"/>
          <w:sz w:val="32"/>
          <w:szCs w:val="32"/>
          <w:lang w:val="zh-CN"/>
        </w:rPr>
        <w:t>万元，</w:t>
      </w:r>
      <w:r>
        <w:rPr>
          <w:rFonts w:hint="eastAsia" w:ascii="仿宋" w:hAnsi="仿宋" w:eastAsia="仿宋"/>
          <w:sz w:val="32"/>
          <w:szCs w:val="32"/>
        </w:rPr>
        <w:t>下降</w:t>
      </w:r>
      <w:r>
        <w:rPr>
          <w:rFonts w:hint="eastAsia" w:ascii="仿宋_GB2312" w:eastAsia="仿宋_GB2312"/>
          <w:color w:val="auto"/>
          <w:spacing w:val="0"/>
          <w:sz w:val="32"/>
          <w:szCs w:val="32"/>
          <w:highlight w:val="none"/>
          <w:lang w:val="en-US" w:eastAsia="zh-CN"/>
        </w:rPr>
        <w:t>19.31</w:t>
      </w:r>
      <w:r>
        <w:rPr>
          <w:rFonts w:hint="eastAsia" w:ascii="仿宋" w:hAnsi="仿宋" w:eastAsia="仿宋"/>
          <w:sz w:val="32"/>
          <w:szCs w:val="32"/>
        </w:rPr>
        <w:t>%,</w:t>
      </w:r>
      <w:r>
        <w:rPr>
          <w:rFonts w:hint="eastAsia" w:ascii="仿宋" w:hAnsi="仿宋" w:eastAsia="仿宋"/>
          <w:sz w:val="32"/>
          <w:szCs w:val="32"/>
          <w:lang w:val="zh-CN"/>
        </w:rPr>
        <w:t>主要原因是：</w:t>
      </w:r>
      <w:r>
        <w:rPr>
          <w:rFonts w:hint="eastAsia" w:ascii="仿宋" w:hAnsi="仿宋" w:eastAsia="仿宋" w:cs="仿宋"/>
          <w:sz w:val="32"/>
          <w:szCs w:val="32"/>
          <w:lang w:val="en-US" w:eastAsia="zh-CN"/>
        </w:rPr>
        <w:t>本年严格执行“三公”经费预算，按照厉行节约的原则，加强公务用车管理，减少公车出行，严格控制使用公务接待频次，全年接待次数3次，接待人数约25人。</w:t>
      </w:r>
      <w:r>
        <w:rPr>
          <w:rFonts w:hint="eastAsia" w:ascii="仿宋" w:hAnsi="仿宋" w:eastAsia="仿宋"/>
          <w:sz w:val="32"/>
          <w:szCs w:val="32"/>
          <w:lang w:val="zh-CN"/>
        </w:rPr>
        <w:t>其中：因公出国（境）费支出0.00万元，占0.00%，比上年增加0.00万元，</w:t>
      </w:r>
      <w:r>
        <w:rPr>
          <w:rFonts w:hint="eastAsia" w:ascii="仿宋" w:hAnsi="仿宋" w:eastAsia="仿宋"/>
          <w:sz w:val="32"/>
          <w:szCs w:val="32"/>
        </w:rPr>
        <w:t>增长0.00%,</w:t>
      </w:r>
      <w:r>
        <w:rPr>
          <w:rFonts w:hint="eastAsia" w:ascii="仿宋" w:hAnsi="仿宋" w:eastAsia="仿宋"/>
          <w:sz w:val="32"/>
          <w:szCs w:val="32"/>
          <w:lang w:val="zh-CN"/>
        </w:rPr>
        <w:t>主要原因是：</w:t>
      </w:r>
      <w:r>
        <w:rPr>
          <w:rFonts w:hint="eastAsia" w:ascii="仿宋" w:hAnsi="仿宋" w:eastAsia="仿宋"/>
          <w:sz w:val="32"/>
          <w:szCs w:val="32"/>
          <w:lang w:val="en-US" w:eastAsia="zh-CN"/>
        </w:rPr>
        <w:t>本年我单位无</w:t>
      </w:r>
      <w:r>
        <w:rPr>
          <w:rFonts w:hint="eastAsia" w:ascii="仿宋" w:hAnsi="仿宋" w:eastAsia="仿宋"/>
          <w:sz w:val="32"/>
          <w:szCs w:val="32"/>
          <w:lang w:val="zh-CN"/>
        </w:rPr>
        <w:t>因公出国（境）费支出；公务用车购置及运行维护费支出2.66万元，占</w:t>
      </w:r>
      <w:r>
        <w:rPr>
          <w:rFonts w:hint="eastAsia" w:ascii="仿宋_GB2312" w:eastAsia="仿宋_GB2312"/>
          <w:color w:val="auto"/>
          <w:sz w:val="32"/>
          <w:szCs w:val="32"/>
          <w:highlight w:val="none"/>
          <w:lang w:val="zh-CN" w:eastAsia="zh-CN"/>
        </w:rPr>
        <w:t>95.00</w:t>
      </w:r>
      <w:r>
        <w:rPr>
          <w:rFonts w:hint="eastAsia" w:ascii="仿宋" w:hAnsi="仿宋" w:eastAsia="仿宋"/>
          <w:sz w:val="32"/>
          <w:szCs w:val="32"/>
          <w:lang w:val="zh-CN"/>
        </w:rPr>
        <w:t>%，比上年减少0.66万元，</w:t>
      </w:r>
      <w:r>
        <w:rPr>
          <w:rFonts w:hint="eastAsia" w:ascii="仿宋" w:hAnsi="仿宋" w:eastAsia="仿宋"/>
          <w:sz w:val="32"/>
          <w:szCs w:val="32"/>
        </w:rPr>
        <w:t>下降</w:t>
      </w:r>
      <w:r>
        <w:rPr>
          <w:rFonts w:hint="eastAsia" w:ascii="仿宋_GB2312" w:eastAsia="仿宋_GB2312"/>
          <w:color w:val="auto"/>
          <w:spacing w:val="0"/>
          <w:sz w:val="32"/>
          <w:szCs w:val="32"/>
          <w:highlight w:val="none"/>
          <w:lang w:val="en-US" w:eastAsia="zh-CN"/>
        </w:rPr>
        <w:t>19.88</w:t>
      </w:r>
      <w:r>
        <w:rPr>
          <w:rFonts w:hint="eastAsia" w:ascii="仿宋" w:hAnsi="仿宋" w:eastAsia="仿宋"/>
          <w:sz w:val="32"/>
          <w:szCs w:val="32"/>
        </w:rPr>
        <w:t>%,</w:t>
      </w:r>
      <w:r>
        <w:rPr>
          <w:rFonts w:hint="eastAsia" w:ascii="仿宋" w:hAnsi="仿宋" w:eastAsia="仿宋"/>
          <w:sz w:val="32"/>
          <w:szCs w:val="32"/>
          <w:lang w:val="zh-CN"/>
        </w:rPr>
        <w:t>主要原因是：本年严格执行“三公”经费预算，按照厉行节约的原则，</w:t>
      </w:r>
      <w:r>
        <w:rPr>
          <w:rFonts w:hint="eastAsia" w:ascii="仿宋" w:hAnsi="仿宋" w:eastAsia="仿宋" w:cs="仿宋"/>
          <w:sz w:val="32"/>
          <w:szCs w:val="32"/>
          <w:lang w:val="en-US" w:eastAsia="zh-CN"/>
        </w:rPr>
        <w:t>加强公务用车管理，减少公车出行</w:t>
      </w:r>
      <w:r>
        <w:rPr>
          <w:rFonts w:hint="eastAsia" w:ascii="仿宋" w:hAnsi="仿宋" w:eastAsia="仿宋"/>
          <w:sz w:val="32"/>
          <w:szCs w:val="32"/>
          <w:lang w:val="zh-CN"/>
        </w:rPr>
        <w:t>；公务接待费支出0.15万元，占</w:t>
      </w:r>
      <w:r>
        <w:rPr>
          <w:rFonts w:hint="eastAsia" w:ascii="仿宋_GB2312" w:eastAsia="仿宋_GB2312"/>
          <w:color w:val="auto"/>
          <w:sz w:val="32"/>
          <w:szCs w:val="32"/>
          <w:highlight w:val="none"/>
          <w:lang w:val="zh-CN" w:eastAsia="zh-CN"/>
        </w:rPr>
        <w:t>5.36</w:t>
      </w:r>
      <w:r>
        <w:rPr>
          <w:rFonts w:hint="eastAsia" w:ascii="仿宋" w:hAnsi="仿宋" w:eastAsia="仿宋"/>
          <w:sz w:val="32"/>
          <w:szCs w:val="32"/>
          <w:lang w:val="zh-CN"/>
        </w:rPr>
        <w:t>%，比上年增加0.00万元，</w:t>
      </w:r>
      <w:r>
        <w:rPr>
          <w:rFonts w:hint="eastAsia" w:ascii="仿宋" w:hAnsi="仿宋" w:eastAsia="仿宋"/>
          <w:sz w:val="32"/>
          <w:szCs w:val="32"/>
        </w:rPr>
        <w:t>增长0.00%,</w:t>
      </w:r>
      <w:r>
        <w:rPr>
          <w:rFonts w:hint="eastAsia" w:ascii="仿宋" w:hAnsi="仿宋" w:eastAsia="仿宋"/>
          <w:sz w:val="32"/>
          <w:szCs w:val="32"/>
          <w:lang w:val="zh-CN"/>
        </w:rPr>
        <w:t>主要原因是：</w:t>
      </w:r>
      <w:r>
        <w:rPr>
          <w:rFonts w:hint="eastAsia" w:ascii="仿宋" w:hAnsi="仿宋" w:eastAsia="仿宋" w:cs="仿宋"/>
          <w:sz w:val="32"/>
          <w:szCs w:val="32"/>
          <w:lang w:val="en-US" w:eastAsia="zh-CN"/>
        </w:rPr>
        <w:t>本年严格执行</w:t>
      </w:r>
      <w:r>
        <w:rPr>
          <w:rFonts w:hint="eastAsia" w:ascii="仿宋" w:hAnsi="仿宋" w:eastAsia="仿宋"/>
          <w:sz w:val="32"/>
          <w:szCs w:val="32"/>
          <w:lang w:val="en-US" w:eastAsia="zh-CN"/>
        </w:rPr>
        <w:t>“三公”经费预算，按照厉行节约的原则，严格控制使用公务接待频次</w:t>
      </w:r>
      <w:r>
        <w:rPr>
          <w:rFonts w:hint="eastAsia" w:ascii="仿宋" w:hAnsi="仿宋" w:eastAsia="仿宋"/>
          <w:sz w:val="32"/>
          <w:szCs w:val="32"/>
          <w:lang w:val="zh-CN"/>
        </w:rPr>
        <w:t>。</w:t>
      </w:r>
    </w:p>
    <w:p>
      <w:pPr>
        <w:ind w:firstLine="643" w:firstLineChars="200"/>
        <w:jc w:val="left"/>
        <w:rPr>
          <w:rFonts w:ascii="仿宋" w:hAnsi="仿宋" w:eastAsia="仿宋"/>
          <w:b/>
          <w:bCs/>
          <w:sz w:val="32"/>
          <w:szCs w:val="32"/>
          <w:lang w:val="zh-CN"/>
        </w:rPr>
      </w:pPr>
      <w:r>
        <w:rPr>
          <w:rFonts w:hint="eastAsia" w:ascii="仿宋" w:hAnsi="仿宋" w:eastAsia="仿宋"/>
          <w:b/>
          <w:bCs/>
          <w:sz w:val="32"/>
          <w:szCs w:val="32"/>
          <w:lang w:val="zh-CN"/>
        </w:rPr>
        <w:t>具体情况如下：</w:t>
      </w:r>
    </w:p>
    <w:p>
      <w:pPr>
        <w:ind w:firstLine="640" w:firstLineChars="200"/>
        <w:jc w:val="left"/>
        <w:rPr>
          <w:rFonts w:ascii="仿宋" w:hAnsi="仿宋" w:eastAsia="仿宋"/>
          <w:sz w:val="32"/>
          <w:szCs w:val="32"/>
          <w:lang w:val="zh-CN"/>
        </w:rPr>
      </w:pPr>
      <w:r>
        <w:rPr>
          <w:rFonts w:hint="eastAsia" w:ascii="仿宋" w:hAnsi="仿宋" w:eastAsia="仿宋"/>
          <w:sz w:val="32"/>
          <w:szCs w:val="32"/>
          <w:lang w:val="zh-CN"/>
        </w:rPr>
        <w:t>因公出国（境）费支出0.00万元，</w:t>
      </w:r>
      <w:r>
        <w:rPr>
          <w:rFonts w:hint="eastAsia" w:ascii="仿宋_GB2312" w:eastAsia="仿宋_GB2312"/>
          <w:sz w:val="32"/>
          <w:szCs w:val="32"/>
          <w:lang w:val="zh-CN"/>
        </w:rPr>
        <w:t>开支内容包括</w:t>
      </w:r>
      <w:r>
        <w:rPr>
          <w:rFonts w:hint="eastAsia" w:ascii="仿宋_GB2312" w:eastAsia="仿宋_GB2312"/>
          <w:sz w:val="32"/>
          <w:szCs w:val="32"/>
        </w:rPr>
        <w:t>我单位无因公出国（境）费</w:t>
      </w:r>
      <w:r>
        <w:rPr>
          <w:rFonts w:hint="eastAsia" w:ascii="仿宋" w:hAnsi="仿宋" w:eastAsia="仿宋"/>
          <w:sz w:val="32"/>
          <w:szCs w:val="32"/>
          <w:lang w:val="zh-CN"/>
        </w:rPr>
        <w:t>。单位全年安排的因公出国（境）团组0个，因公出国（境）0人次。</w:t>
      </w:r>
    </w:p>
    <w:p>
      <w:pPr>
        <w:ind w:firstLine="640" w:firstLineChars="200"/>
        <w:jc w:val="left"/>
        <w:rPr>
          <w:rFonts w:ascii="仿宋" w:hAnsi="仿宋" w:eastAsia="仿宋"/>
          <w:sz w:val="32"/>
          <w:szCs w:val="32"/>
        </w:rPr>
      </w:pPr>
      <w:r>
        <w:rPr>
          <w:rFonts w:hint="eastAsia" w:ascii="仿宋" w:hAnsi="仿宋" w:eastAsia="仿宋"/>
          <w:sz w:val="32"/>
          <w:szCs w:val="32"/>
          <w:lang w:val="zh-CN"/>
        </w:rPr>
        <w:t>公务用车购置及运行维护费2.66万元，其中：公务用车购置费0.00万元，公务用车运行维护费2.66万元。公务用车运行维护费开支内容包括</w:t>
      </w:r>
      <w:r>
        <w:rPr>
          <w:rFonts w:hint="eastAsia" w:ascii="仿宋" w:hAnsi="仿宋" w:eastAsia="仿宋"/>
          <w:sz w:val="32"/>
          <w:szCs w:val="32"/>
          <w:lang w:val="en-US" w:eastAsia="zh-CN"/>
        </w:rPr>
        <w:t>公务用车保险费、汽油费及公务用车维修费</w:t>
      </w:r>
      <w:r>
        <w:rPr>
          <w:rFonts w:hint="eastAsia" w:ascii="仿宋" w:hAnsi="仿宋" w:eastAsia="仿宋"/>
          <w:sz w:val="32"/>
          <w:szCs w:val="32"/>
          <w:lang w:val="zh-CN"/>
        </w:rPr>
        <w:t>。公务用车购置数0辆，公务用车保有量1辆。国有资产占用情况</w:t>
      </w:r>
      <w:r>
        <w:rPr>
          <w:rFonts w:hint="eastAsia" w:ascii="仿宋" w:hAnsi="仿宋" w:eastAsia="仿宋"/>
          <w:sz w:val="32"/>
          <w:szCs w:val="32"/>
        </w:rPr>
        <w:t>中固定资产车辆</w:t>
      </w:r>
      <w:r>
        <w:rPr>
          <w:rFonts w:hint="eastAsia" w:ascii="仿宋" w:hAnsi="仿宋" w:eastAsia="仿宋"/>
          <w:sz w:val="32"/>
          <w:szCs w:val="32"/>
          <w:lang w:val="zh-CN"/>
        </w:rPr>
        <w:t>1辆，</w:t>
      </w:r>
      <w:r>
        <w:rPr>
          <w:rFonts w:hint="eastAsia" w:ascii="仿宋" w:hAnsi="仿宋" w:eastAsia="仿宋"/>
          <w:sz w:val="32"/>
          <w:szCs w:val="32"/>
          <w:lang w:val="en-US" w:eastAsia="zh-CN"/>
        </w:rPr>
        <w:t>与公务用车保有量无差异</w:t>
      </w:r>
      <w:r>
        <w:rPr>
          <w:rFonts w:hint="eastAsia" w:ascii="仿宋" w:hAnsi="仿宋" w:eastAsia="仿宋"/>
          <w:sz w:val="32"/>
          <w:szCs w:val="32"/>
          <w:lang w:val="zh-CN"/>
        </w:rPr>
        <w:t>。</w:t>
      </w:r>
    </w:p>
    <w:p>
      <w:pPr>
        <w:ind w:firstLine="640" w:firstLineChars="200"/>
        <w:jc w:val="left"/>
        <w:rPr>
          <w:rFonts w:ascii="仿宋" w:hAnsi="仿宋" w:eastAsia="仿宋"/>
          <w:sz w:val="32"/>
          <w:szCs w:val="32"/>
          <w:lang w:val="zh-CN"/>
        </w:rPr>
      </w:pPr>
      <w:r>
        <w:rPr>
          <w:rFonts w:hint="eastAsia" w:ascii="仿宋" w:hAnsi="仿宋" w:eastAsia="仿宋"/>
          <w:sz w:val="32"/>
          <w:szCs w:val="32"/>
          <w:lang w:val="zh-CN"/>
        </w:rPr>
        <w:t>公务接待费0.15万元，开支内容</w:t>
      </w:r>
      <w:r>
        <w:rPr>
          <w:rFonts w:hint="eastAsia" w:ascii="仿宋" w:hAnsi="仿宋" w:eastAsia="仿宋"/>
          <w:sz w:val="32"/>
          <w:szCs w:val="32"/>
          <w:lang w:val="en-US" w:eastAsia="zh-CN"/>
        </w:rPr>
        <w:t>为</w:t>
      </w:r>
      <w:r>
        <w:rPr>
          <w:rFonts w:hint="eastAsia" w:ascii="仿宋_GB2312" w:eastAsia="仿宋_GB2312"/>
          <w:sz w:val="32"/>
          <w:szCs w:val="32"/>
          <w:lang w:val="zh-CN"/>
        </w:rPr>
        <w:t>因科研交流等公务需要发生的接待费用</w:t>
      </w:r>
      <w:r>
        <w:rPr>
          <w:rFonts w:hint="eastAsia" w:ascii="仿宋" w:hAnsi="仿宋" w:eastAsia="仿宋"/>
          <w:sz w:val="32"/>
          <w:szCs w:val="32"/>
          <w:lang w:val="zh-CN"/>
        </w:rPr>
        <w:t>。单位全年安排的国内公务接待3批次，25人次。</w:t>
      </w:r>
    </w:p>
    <w:p>
      <w:pPr>
        <w:keepNext w:val="0"/>
        <w:keepLines w:val="0"/>
        <w:pageBreakBefore w:val="0"/>
        <w:widowControl w:val="0"/>
        <w:kinsoku/>
        <w:wordWrap/>
        <w:overflowPunct/>
        <w:topLinePunct w:val="0"/>
        <w:autoSpaceDE/>
        <w:autoSpaceDN/>
        <w:bidi w:val="0"/>
        <w:adjustRightInd/>
        <w:snapToGrid w:val="0"/>
        <w:spacing w:line="360" w:lineRule="auto"/>
        <w:ind w:firstLine="643" w:firstLineChars="200"/>
        <w:textAlignment w:val="auto"/>
        <w:rPr>
          <w:rFonts w:ascii="仿宋" w:hAnsi="仿宋" w:eastAsia="仿宋"/>
          <w:sz w:val="32"/>
          <w:szCs w:val="32"/>
          <w:lang w:val="zh-CN"/>
        </w:rPr>
      </w:pPr>
      <w:r>
        <w:rPr>
          <w:rFonts w:hint="eastAsia" w:ascii="仿宋" w:hAnsi="仿宋" w:eastAsia="仿宋"/>
          <w:b/>
          <w:bCs/>
          <w:sz w:val="32"/>
          <w:szCs w:val="32"/>
          <w:lang w:val="zh-CN"/>
        </w:rPr>
        <w:t>与</w:t>
      </w:r>
      <w:r>
        <w:rPr>
          <w:rFonts w:hint="eastAsia" w:ascii="仿宋" w:hAnsi="仿宋" w:eastAsia="仿宋"/>
          <w:b/>
          <w:bCs/>
          <w:sz w:val="32"/>
          <w:szCs w:val="32"/>
        </w:rPr>
        <w:t>全年</w:t>
      </w:r>
      <w:r>
        <w:rPr>
          <w:rFonts w:hint="eastAsia" w:ascii="仿宋" w:hAnsi="仿宋" w:eastAsia="仿宋"/>
          <w:b/>
          <w:bCs/>
          <w:sz w:val="32"/>
          <w:szCs w:val="32"/>
          <w:lang w:val="zh-CN"/>
        </w:rPr>
        <w:t>预算相比</w:t>
      </w:r>
      <w:r>
        <w:rPr>
          <w:rFonts w:hint="eastAsia" w:ascii="仿宋" w:hAnsi="仿宋" w:eastAsia="仿宋"/>
          <w:b/>
          <w:bCs/>
          <w:sz w:val="32"/>
          <w:szCs w:val="32"/>
        </w:rPr>
        <w:t>,</w:t>
      </w:r>
      <w:r>
        <w:rPr>
          <w:rFonts w:hint="eastAsia" w:ascii="仿宋" w:hAnsi="仿宋" w:eastAsia="仿宋"/>
          <w:sz w:val="32"/>
          <w:szCs w:val="32"/>
          <w:lang w:val="zh-CN"/>
        </w:rPr>
        <w:t>财政拨款“三公”经费支出</w:t>
      </w:r>
      <w:r>
        <w:rPr>
          <w:rFonts w:hint="eastAsia" w:ascii="仿宋" w:hAnsi="仿宋" w:eastAsia="仿宋"/>
          <w:sz w:val="32"/>
          <w:szCs w:val="32"/>
        </w:rPr>
        <w:t>全年</w:t>
      </w:r>
      <w:r>
        <w:rPr>
          <w:rFonts w:hint="eastAsia" w:ascii="仿宋" w:hAnsi="仿宋" w:eastAsia="仿宋"/>
          <w:sz w:val="32"/>
          <w:szCs w:val="32"/>
          <w:lang w:val="zh-CN"/>
        </w:rPr>
        <w:t>预算数4.02万元，决算数2.80万元，预决算差异率</w:t>
      </w:r>
      <w:r>
        <w:rPr>
          <w:rFonts w:hint="eastAsia" w:ascii="仿宋_GB2312" w:eastAsia="仿宋_GB2312"/>
          <w:color w:val="auto"/>
          <w:sz w:val="32"/>
          <w:szCs w:val="32"/>
          <w:highlight w:val="none"/>
          <w:lang w:val="zh-CN" w:eastAsia="zh-CN"/>
        </w:rPr>
        <w:t>-30.35</w:t>
      </w:r>
      <w:r>
        <w:rPr>
          <w:rFonts w:hint="eastAsia" w:ascii="仿宋" w:hAnsi="仿宋" w:eastAsia="仿宋"/>
          <w:sz w:val="32"/>
          <w:szCs w:val="32"/>
          <w:lang w:val="zh-CN"/>
        </w:rPr>
        <w:t>%，主要原因是：</w:t>
      </w:r>
      <w:r>
        <w:rPr>
          <w:rFonts w:hint="eastAsia" w:ascii="仿宋" w:hAnsi="仿宋" w:eastAsia="仿宋" w:cs="仿宋"/>
          <w:sz w:val="32"/>
          <w:szCs w:val="32"/>
          <w:lang w:val="en-US" w:eastAsia="zh-CN"/>
        </w:rPr>
        <w:t>本年严格执行“三公”经费预算，按照厉行节约的原则，加强公务用车管理，减少公车出行，严格控制使用公务接待频次，全年接待次数3次，接待人数约25人。</w:t>
      </w:r>
      <w:r>
        <w:rPr>
          <w:rFonts w:hint="eastAsia" w:ascii="仿宋" w:hAnsi="仿宋" w:eastAsia="仿宋"/>
          <w:sz w:val="32"/>
          <w:szCs w:val="32"/>
          <w:lang w:val="zh-CN"/>
        </w:rPr>
        <w:t>其中：因公出国（境）费</w:t>
      </w:r>
      <w:r>
        <w:rPr>
          <w:rFonts w:hint="eastAsia" w:ascii="仿宋" w:hAnsi="仿宋" w:eastAsia="仿宋"/>
          <w:sz w:val="32"/>
          <w:szCs w:val="32"/>
        </w:rPr>
        <w:t>全年预算数</w:t>
      </w:r>
      <w:r>
        <w:rPr>
          <w:rFonts w:hint="eastAsia" w:ascii="仿宋" w:hAnsi="仿宋" w:eastAsia="仿宋"/>
          <w:sz w:val="32"/>
          <w:szCs w:val="32"/>
          <w:lang w:val="zh-CN"/>
        </w:rPr>
        <w:t>0.00万元，决算数0.00万元，预决算差异率0.00%，主要原因是：</w:t>
      </w:r>
      <w:r>
        <w:rPr>
          <w:rFonts w:hint="eastAsia" w:ascii="仿宋" w:hAnsi="仿宋" w:eastAsia="仿宋"/>
          <w:sz w:val="32"/>
          <w:szCs w:val="32"/>
          <w:lang w:val="en-US" w:eastAsia="zh-CN"/>
        </w:rPr>
        <w:t>本年无</w:t>
      </w:r>
      <w:r>
        <w:rPr>
          <w:rFonts w:hint="eastAsia" w:ascii="仿宋" w:hAnsi="仿宋" w:eastAsia="仿宋"/>
          <w:sz w:val="32"/>
          <w:szCs w:val="32"/>
          <w:lang w:val="zh-CN"/>
        </w:rPr>
        <w:t>因公出国（境）费；公务用车购置费</w:t>
      </w:r>
      <w:r>
        <w:rPr>
          <w:rFonts w:hint="eastAsia" w:ascii="仿宋" w:hAnsi="仿宋" w:eastAsia="仿宋"/>
          <w:sz w:val="32"/>
          <w:szCs w:val="32"/>
        </w:rPr>
        <w:t>全年</w:t>
      </w:r>
      <w:r>
        <w:rPr>
          <w:rFonts w:hint="eastAsia" w:ascii="仿宋" w:hAnsi="仿宋" w:eastAsia="仿宋"/>
          <w:sz w:val="32"/>
          <w:szCs w:val="32"/>
          <w:lang w:val="zh-CN"/>
        </w:rPr>
        <w:t>预算数0.00万元，决算数0.00万元，预决算差异率0.00%，主要原因是：</w:t>
      </w:r>
      <w:r>
        <w:rPr>
          <w:rFonts w:hint="eastAsia" w:ascii="仿宋" w:hAnsi="仿宋" w:eastAsia="仿宋"/>
          <w:sz w:val="32"/>
          <w:szCs w:val="32"/>
          <w:lang w:val="en-US" w:eastAsia="zh-CN"/>
        </w:rPr>
        <w:t>本年无</w:t>
      </w:r>
      <w:r>
        <w:rPr>
          <w:rFonts w:hint="eastAsia" w:ascii="仿宋" w:hAnsi="仿宋" w:eastAsia="仿宋"/>
          <w:sz w:val="32"/>
          <w:szCs w:val="32"/>
          <w:lang w:val="zh-CN"/>
        </w:rPr>
        <w:t>公务用车购置费；公务用车运行费</w:t>
      </w:r>
      <w:r>
        <w:rPr>
          <w:rFonts w:hint="eastAsia" w:ascii="仿宋" w:hAnsi="仿宋" w:eastAsia="仿宋"/>
          <w:sz w:val="32"/>
          <w:szCs w:val="32"/>
        </w:rPr>
        <w:t>全年</w:t>
      </w:r>
      <w:r>
        <w:rPr>
          <w:rFonts w:hint="eastAsia" w:ascii="仿宋" w:hAnsi="仿宋" w:eastAsia="仿宋"/>
          <w:sz w:val="32"/>
          <w:szCs w:val="32"/>
          <w:lang w:val="zh-CN"/>
        </w:rPr>
        <w:t>预算数3.32万元，决算数2.66万元，预决算差异率</w:t>
      </w:r>
      <w:r>
        <w:rPr>
          <w:rFonts w:hint="eastAsia" w:ascii="仿宋_GB2312" w:eastAsia="仿宋_GB2312"/>
          <w:color w:val="auto"/>
          <w:sz w:val="32"/>
          <w:szCs w:val="32"/>
          <w:highlight w:val="none"/>
          <w:lang w:val="zh-CN" w:eastAsia="zh-CN"/>
        </w:rPr>
        <w:t>-19.88</w:t>
      </w:r>
      <w:r>
        <w:rPr>
          <w:rFonts w:hint="eastAsia" w:ascii="仿宋" w:hAnsi="仿宋" w:eastAsia="仿宋"/>
          <w:sz w:val="32"/>
          <w:szCs w:val="32"/>
          <w:lang w:val="zh-CN"/>
        </w:rPr>
        <w:t>%，主要原因是：本年严格执行“三公”经费预算，按照厉行节约的原则，</w:t>
      </w:r>
      <w:r>
        <w:rPr>
          <w:rFonts w:hint="eastAsia" w:ascii="仿宋" w:hAnsi="仿宋" w:eastAsia="仿宋" w:cs="仿宋"/>
          <w:sz w:val="32"/>
          <w:szCs w:val="32"/>
          <w:lang w:val="en-US" w:eastAsia="zh-CN"/>
        </w:rPr>
        <w:t>加强公务用车管理，减少公车出行</w:t>
      </w:r>
      <w:r>
        <w:rPr>
          <w:rFonts w:hint="eastAsia" w:ascii="仿宋" w:hAnsi="仿宋" w:eastAsia="仿宋"/>
          <w:sz w:val="32"/>
          <w:szCs w:val="32"/>
          <w:lang w:val="zh-CN"/>
        </w:rPr>
        <w:t>；公务接待费</w:t>
      </w:r>
      <w:r>
        <w:rPr>
          <w:rFonts w:hint="eastAsia" w:ascii="仿宋" w:hAnsi="仿宋" w:eastAsia="仿宋"/>
          <w:sz w:val="32"/>
          <w:szCs w:val="32"/>
        </w:rPr>
        <w:t>全年</w:t>
      </w:r>
      <w:r>
        <w:rPr>
          <w:rFonts w:hint="eastAsia" w:ascii="仿宋" w:hAnsi="仿宋" w:eastAsia="仿宋"/>
          <w:sz w:val="32"/>
          <w:szCs w:val="32"/>
          <w:lang w:val="zh-CN"/>
        </w:rPr>
        <w:t>预算数0.70万元，决算数0.15万元，预决算差异率</w:t>
      </w:r>
      <w:r>
        <w:rPr>
          <w:rFonts w:hint="eastAsia" w:ascii="仿宋_GB2312" w:eastAsia="仿宋_GB2312"/>
          <w:color w:val="auto"/>
          <w:sz w:val="32"/>
          <w:szCs w:val="32"/>
          <w:highlight w:val="none"/>
          <w:lang w:val="zh-CN" w:eastAsia="zh-CN"/>
        </w:rPr>
        <w:t>-78.57</w:t>
      </w:r>
      <w:r>
        <w:rPr>
          <w:rFonts w:hint="eastAsia" w:ascii="仿宋" w:hAnsi="仿宋" w:eastAsia="仿宋"/>
          <w:sz w:val="32"/>
          <w:szCs w:val="32"/>
          <w:lang w:val="zh-CN"/>
        </w:rPr>
        <w:t>%，主要原因是：</w:t>
      </w:r>
      <w:r>
        <w:rPr>
          <w:rFonts w:hint="eastAsia" w:ascii="仿宋" w:hAnsi="仿宋" w:eastAsia="仿宋" w:cs="仿宋"/>
          <w:sz w:val="32"/>
          <w:szCs w:val="32"/>
          <w:lang w:val="en-US" w:eastAsia="zh-CN"/>
        </w:rPr>
        <w:t>本年严格执行“三公”经费预算，按照厉行节约的原则，严格控制使用公务接待频次</w:t>
      </w:r>
      <w:r>
        <w:rPr>
          <w:rFonts w:hint="eastAsia" w:ascii="仿宋" w:hAnsi="仿宋" w:eastAsia="仿宋"/>
          <w:sz w:val="32"/>
          <w:szCs w:val="32"/>
          <w:lang w:val="zh-CN"/>
        </w:rPr>
        <w:t>。</w:t>
      </w:r>
    </w:p>
    <w:p>
      <w:pPr>
        <w:numPr>
          <w:ilvl w:val="0"/>
          <w:numId w:val="2"/>
        </w:numPr>
        <w:ind w:firstLine="640" w:firstLineChars="200"/>
        <w:jc w:val="left"/>
        <w:outlineLvl w:val="1"/>
        <w:rPr>
          <w:rFonts w:hint="eastAsia" w:ascii="黑体" w:hAnsi="黑体" w:eastAsia="黑体" w:cs="黑体"/>
          <w:bCs/>
          <w:kern w:val="0"/>
          <w:sz w:val="32"/>
          <w:szCs w:val="32"/>
        </w:rPr>
      </w:pPr>
      <w:bookmarkStart w:id="18" w:name="_Toc7927"/>
      <w:bookmarkStart w:id="19" w:name="_Toc5810"/>
      <w:r>
        <w:rPr>
          <w:rFonts w:hint="eastAsia" w:ascii="黑体" w:hAnsi="黑体" w:eastAsia="黑体" w:cs="黑体"/>
          <w:bCs/>
          <w:kern w:val="0"/>
          <w:sz w:val="32"/>
          <w:szCs w:val="32"/>
        </w:rPr>
        <w:t>政府性基金预算财政拨款收入支出决算情况说明</w:t>
      </w:r>
      <w:bookmarkEnd w:id="18"/>
      <w:bookmarkEnd w:id="19"/>
    </w:p>
    <w:p>
      <w:pPr>
        <w:ind w:firstLine="640" w:firstLineChars="200"/>
        <w:jc w:val="left"/>
        <w:rPr>
          <w:rFonts w:ascii="仿宋" w:hAnsi="仿宋" w:eastAsia="仿宋"/>
          <w:sz w:val="32"/>
          <w:szCs w:val="32"/>
        </w:rPr>
      </w:pPr>
      <w:r>
        <w:rPr>
          <w:rFonts w:hint="eastAsia" w:ascii="仿宋" w:hAnsi="仿宋" w:eastAsia="仿宋"/>
          <w:sz w:val="32"/>
          <w:szCs w:val="32"/>
        </w:rPr>
        <w:t>我单位本年度无政府性基金预算财政拨款收入、支出及结转和结余，政府性基金预算财政拨款收入支出决算表为空表。</w:t>
      </w:r>
    </w:p>
    <w:p>
      <w:pPr>
        <w:numPr>
          <w:ilvl w:val="0"/>
          <w:numId w:val="2"/>
        </w:numPr>
        <w:ind w:left="0" w:leftChars="0" w:firstLine="640" w:firstLineChars="200"/>
        <w:jc w:val="both"/>
        <w:outlineLvl w:val="1"/>
        <w:rPr>
          <w:rFonts w:hint="eastAsia" w:ascii="黑体" w:hAnsi="黑体" w:eastAsia="黑体" w:cs="黑体"/>
          <w:bCs/>
          <w:kern w:val="0"/>
          <w:sz w:val="32"/>
          <w:szCs w:val="32"/>
        </w:rPr>
      </w:pPr>
      <w:r>
        <w:rPr>
          <w:rFonts w:hint="eastAsia" w:ascii="黑体" w:hAnsi="黑体" w:eastAsia="黑体" w:cs="黑体"/>
          <w:bCs/>
          <w:kern w:val="0"/>
          <w:sz w:val="32"/>
          <w:szCs w:val="32"/>
        </w:rPr>
        <w:t>国有资本经营预算财政拨款收入支出决算情况说明</w:t>
      </w:r>
    </w:p>
    <w:p>
      <w:pPr>
        <w:ind w:firstLine="640" w:firstLineChars="200"/>
        <w:jc w:val="left"/>
        <w:rPr>
          <w:rFonts w:ascii="仿宋" w:hAnsi="仿宋" w:eastAsia="仿宋"/>
          <w:sz w:val="32"/>
          <w:szCs w:val="32"/>
        </w:rPr>
      </w:pPr>
      <w:r>
        <w:rPr>
          <w:rFonts w:hint="eastAsia" w:ascii="仿宋" w:hAnsi="仿宋" w:eastAsia="仿宋"/>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黑体"/>
          <w:bCs/>
          <w:kern w:val="0"/>
          <w:sz w:val="32"/>
          <w:szCs w:val="32"/>
        </w:rPr>
      </w:pPr>
      <w:bookmarkStart w:id="20" w:name="_Toc7314"/>
      <w:bookmarkStart w:id="21" w:name="_Toc1235"/>
      <w:r>
        <w:rPr>
          <w:rFonts w:hint="eastAsia" w:ascii="黑体" w:hAnsi="黑体" w:eastAsia="黑体" w:cs="黑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cs="黑体"/>
          <w:sz w:val="32"/>
          <w:szCs w:val="32"/>
        </w:rPr>
      </w:pPr>
      <w:bookmarkStart w:id="22" w:name="_Toc14519"/>
      <w:bookmarkStart w:id="23" w:name="_Toc13105"/>
      <w:r>
        <w:rPr>
          <w:rFonts w:hint="eastAsia" w:ascii="黑体" w:hAnsi="黑体" w:eastAsia="黑体" w:cs="黑体"/>
          <w:sz w:val="32"/>
          <w:szCs w:val="32"/>
        </w:rPr>
        <w:t>（一）机关运行经费支出情况</w:t>
      </w:r>
      <w:bookmarkEnd w:id="22"/>
      <w:bookmarkEnd w:id="23"/>
    </w:p>
    <w:p>
      <w:pPr>
        <w:ind w:firstLine="640" w:firstLineChars="200"/>
        <w:jc w:val="both"/>
        <w:rPr>
          <w:rFonts w:ascii="仿宋" w:hAnsi="仿宋" w:eastAsia="仿宋"/>
          <w:sz w:val="32"/>
          <w:szCs w:val="32"/>
        </w:rPr>
      </w:pPr>
      <w:bookmarkStart w:id="24" w:name="_Toc227"/>
      <w:bookmarkStart w:id="25" w:name="_Toc26704"/>
      <w:r>
        <w:rPr>
          <w:rFonts w:hint="eastAsia" w:ascii="仿宋" w:hAnsi="仿宋" w:eastAsia="仿宋"/>
          <w:sz w:val="32"/>
          <w:szCs w:val="32"/>
          <w:lang w:val="zh-CN"/>
        </w:rPr>
        <w:t>2023年度</w:t>
      </w:r>
      <w:r>
        <w:rPr>
          <w:rFonts w:hint="eastAsia" w:ascii="仿宋" w:hAnsi="仿宋" w:eastAsia="仿宋"/>
          <w:sz w:val="32"/>
          <w:szCs w:val="32"/>
        </w:rPr>
        <w:t>新疆维吾尔自治区药物研究所（事业单位）公用经费支出104.55万元，</w:t>
      </w:r>
      <w:r>
        <w:rPr>
          <w:rFonts w:hint="eastAsia" w:ascii="仿宋" w:hAnsi="仿宋" w:eastAsia="仿宋"/>
          <w:sz w:val="32"/>
          <w:szCs w:val="32"/>
          <w:lang w:val="zh-CN"/>
        </w:rPr>
        <w:t>比上年增加8.02万元，增长8.31%，主要原因是：</w:t>
      </w:r>
      <w:r>
        <w:rPr>
          <w:rFonts w:hint="eastAsia" w:ascii="仿宋" w:hAnsi="仿宋" w:eastAsia="仿宋" w:cs="仿宋"/>
          <w:sz w:val="32"/>
          <w:szCs w:val="32"/>
          <w:lang w:val="en-US" w:eastAsia="zh-CN"/>
        </w:rPr>
        <w:t>政策性绩效增资使得工会经费及福利费较上年增加</w:t>
      </w:r>
      <w:r>
        <w:rPr>
          <w:rFonts w:hint="eastAsia" w:ascii="仿宋" w:hAnsi="仿宋" w:eastAsia="仿宋"/>
          <w:sz w:val="32"/>
          <w:szCs w:val="32"/>
        </w:rPr>
        <w:t>。</w:t>
      </w:r>
    </w:p>
    <w:p>
      <w:pPr>
        <w:ind w:firstLine="640" w:firstLineChars="200"/>
        <w:jc w:val="left"/>
        <w:rPr>
          <w:rFonts w:hint="eastAsia" w:ascii="黑体" w:hAnsi="黑体" w:eastAsia="黑体" w:cs="黑体"/>
          <w:sz w:val="32"/>
          <w:szCs w:val="32"/>
          <w:lang w:val="zh-CN"/>
        </w:rPr>
      </w:pPr>
      <w:r>
        <w:rPr>
          <w:rFonts w:hint="eastAsia" w:ascii="黑体" w:hAnsi="黑体" w:eastAsia="黑体" w:cs="黑体"/>
          <w:sz w:val="32"/>
          <w:szCs w:val="32"/>
          <w:lang w:val="zh-CN"/>
        </w:rPr>
        <w:t>（二）政府采购情况</w:t>
      </w:r>
      <w:bookmarkEnd w:id="24"/>
      <w:bookmarkEnd w:id="25"/>
    </w:p>
    <w:p>
      <w:pPr>
        <w:ind w:firstLine="640" w:firstLineChars="200"/>
        <w:jc w:val="left"/>
        <w:rPr>
          <w:rFonts w:ascii="仿宋" w:hAnsi="仿宋" w:eastAsia="仿宋"/>
          <w:sz w:val="32"/>
          <w:szCs w:val="32"/>
          <w:lang w:val="zh-CN"/>
        </w:rPr>
      </w:pPr>
      <w:r>
        <w:rPr>
          <w:rFonts w:hint="eastAsia" w:ascii="仿宋" w:hAnsi="仿宋" w:eastAsia="仿宋"/>
          <w:sz w:val="32"/>
          <w:szCs w:val="32"/>
          <w:lang w:val="zh-CN"/>
        </w:rPr>
        <w:t>2023年度政府采购支出总额0.76万元，其中：政府采购货物支出0.51万元、政府采购工程支出0.00万元、政府采购服务支出0.25万元。</w:t>
      </w:r>
    </w:p>
    <w:p>
      <w:pPr>
        <w:ind w:firstLine="640" w:firstLineChars="200"/>
        <w:jc w:val="left"/>
        <w:rPr>
          <w:rFonts w:ascii="仿宋" w:hAnsi="仿宋" w:eastAsia="仿宋"/>
          <w:sz w:val="32"/>
          <w:szCs w:val="32"/>
        </w:rPr>
      </w:pPr>
      <w:r>
        <w:rPr>
          <w:rFonts w:hint="eastAsia" w:ascii="仿宋" w:hAnsi="仿宋" w:eastAsia="仿宋"/>
          <w:sz w:val="32"/>
          <w:szCs w:val="32"/>
          <w:lang w:val="zh-CN"/>
        </w:rPr>
        <w:t>授予中小企业合同金额0.76万元，占政府采购支出总额的100.00</w:t>
      </w:r>
      <w:r>
        <w:rPr>
          <w:rFonts w:ascii="仿宋" w:hAnsi="仿宋" w:eastAsia="仿宋"/>
          <w:sz w:val="32"/>
          <w:szCs w:val="32"/>
          <w:lang w:val="zh-CN"/>
        </w:rPr>
        <w:t>%</w:t>
      </w:r>
      <w:r>
        <w:rPr>
          <w:rFonts w:hint="eastAsia" w:ascii="仿宋" w:hAnsi="仿宋" w:eastAsia="仿宋"/>
          <w:sz w:val="32"/>
          <w:szCs w:val="32"/>
          <w:lang w:val="zh-CN"/>
        </w:rPr>
        <w:t>，其中：授予小微企业合同金额0.51万元，占政府采购支出总额的67.11</w:t>
      </w:r>
      <w:r>
        <w:rPr>
          <w:rFonts w:ascii="仿宋" w:hAnsi="仿宋" w:eastAsia="仿宋"/>
          <w:sz w:val="32"/>
          <w:szCs w:val="32"/>
          <w:lang w:val="zh-CN"/>
        </w:rPr>
        <w:t>%</w:t>
      </w:r>
      <w:r>
        <w:rPr>
          <w:rFonts w:hint="eastAsia" w:ascii="仿宋" w:hAnsi="仿宋" w:eastAsia="仿宋"/>
          <w:sz w:val="32"/>
          <w:szCs w:val="32"/>
        </w:rPr>
        <w:t>。</w:t>
      </w:r>
    </w:p>
    <w:p>
      <w:pPr>
        <w:ind w:firstLine="640" w:firstLineChars="200"/>
        <w:jc w:val="left"/>
        <w:rPr>
          <w:rFonts w:hint="eastAsia" w:ascii="黑体" w:hAnsi="黑体" w:eastAsia="黑体" w:cs="黑体"/>
          <w:sz w:val="32"/>
          <w:szCs w:val="32"/>
          <w:lang w:val="zh-CN"/>
        </w:rPr>
      </w:pPr>
      <w:bookmarkStart w:id="26" w:name="_Toc8391"/>
      <w:bookmarkStart w:id="27" w:name="_Toc4591"/>
      <w:r>
        <w:rPr>
          <w:rFonts w:hint="eastAsia" w:ascii="黑体" w:hAnsi="黑体" w:eastAsia="黑体" w:cs="黑体"/>
          <w:sz w:val="32"/>
          <w:szCs w:val="32"/>
          <w:lang w:val="zh-CN"/>
        </w:rPr>
        <w:t>（三）国有资产占用情况说明</w:t>
      </w:r>
      <w:bookmarkEnd w:id="26"/>
      <w:bookmarkEnd w:id="27"/>
    </w:p>
    <w:p>
      <w:pPr>
        <w:keepNext w:val="0"/>
        <w:keepLines w:val="0"/>
        <w:widowControl/>
        <w:suppressLineNumbers w:val="0"/>
        <w:ind w:firstLine="640" w:firstLineChars="200"/>
        <w:jc w:val="left"/>
        <w:rPr>
          <w:rFonts w:ascii="仿宋" w:hAnsi="仿宋" w:eastAsia="仿宋"/>
          <w:sz w:val="32"/>
          <w:szCs w:val="32"/>
          <w:lang w:val="zh-CN"/>
        </w:rPr>
      </w:pPr>
      <w:r>
        <w:rPr>
          <w:rFonts w:hint="eastAsia" w:ascii="仿宋" w:hAnsi="仿宋" w:eastAsia="仿宋"/>
          <w:sz w:val="32"/>
          <w:szCs w:val="32"/>
        </w:rPr>
        <w:t>截至2023</w:t>
      </w:r>
      <w:r>
        <w:rPr>
          <w:rFonts w:hint="eastAsia" w:ascii="仿宋" w:hAnsi="仿宋" w:eastAsia="仿宋"/>
          <w:sz w:val="32"/>
          <w:szCs w:val="32"/>
          <w:lang w:val="zh-CN"/>
        </w:rPr>
        <w:t>年</w:t>
      </w:r>
      <w:r>
        <w:rPr>
          <w:rFonts w:hint="eastAsia" w:ascii="仿宋" w:hAnsi="仿宋" w:eastAsia="仿宋"/>
          <w:sz w:val="32"/>
          <w:szCs w:val="32"/>
        </w:rPr>
        <w:t>12月31日</w:t>
      </w:r>
      <w:r>
        <w:rPr>
          <w:rFonts w:hint="eastAsia" w:ascii="仿宋" w:hAnsi="仿宋" w:eastAsia="仿宋"/>
          <w:sz w:val="32"/>
          <w:szCs w:val="32"/>
          <w:lang w:val="zh-CN"/>
        </w:rPr>
        <w:t>，</w:t>
      </w:r>
      <w:r>
        <w:rPr>
          <w:rFonts w:hint="eastAsia" w:ascii="仿宋" w:hAnsi="仿宋" w:eastAsia="仿宋"/>
          <w:sz w:val="32"/>
          <w:szCs w:val="32"/>
        </w:rPr>
        <w:t>固定资产原值</w:t>
      </w:r>
      <w:r>
        <w:rPr>
          <w:rFonts w:hint="eastAsia" w:ascii="仿宋" w:hAnsi="仿宋" w:eastAsia="仿宋"/>
          <w:sz w:val="32"/>
          <w:szCs w:val="32"/>
          <w:lang w:val="zh-CN"/>
        </w:rPr>
        <w:t>4,088.13</w:t>
      </w:r>
      <w:r>
        <w:rPr>
          <w:rFonts w:hint="eastAsia" w:ascii="仿宋" w:hAnsi="仿宋" w:eastAsia="仿宋"/>
          <w:sz w:val="32"/>
          <w:szCs w:val="32"/>
        </w:rPr>
        <w:t>万元，房</w:t>
      </w:r>
      <w:r>
        <w:rPr>
          <w:rFonts w:hint="eastAsia" w:ascii="仿宋" w:hAnsi="仿宋" w:eastAsia="仿宋"/>
          <w:sz w:val="32"/>
          <w:szCs w:val="32"/>
          <w:lang w:val="zh-CN"/>
        </w:rPr>
        <w:t>屋5397.17平方米，价值1,719.01万元。车辆1辆，价值13.76万元，其中：副部（省）级及以上领导用车0辆、主要</w:t>
      </w:r>
      <w:r>
        <w:rPr>
          <w:rFonts w:hint="eastAsia" w:ascii="仿宋" w:hAnsi="仿宋" w:eastAsia="仿宋"/>
          <w:sz w:val="32"/>
          <w:szCs w:val="32"/>
        </w:rPr>
        <w:t>负责人</w:t>
      </w:r>
      <w:r>
        <w:rPr>
          <w:rFonts w:hint="eastAsia" w:ascii="仿宋" w:hAnsi="仿宋" w:eastAsia="仿宋"/>
          <w:sz w:val="32"/>
          <w:szCs w:val="32"/>
          <w:lang w:val="zh-CN"/>
        </w:rPr>
        <w:t>用车0辆、机要通信用车0辆、应急保障用车0辆、执法执勤用车0辆、特种专业技术用车0辆、离退休干部</w:t>
      </w:r>
      <w:r>
        <w:rPr>
          <w:rFonts w:hint="eastAsia" w:ascii="仿宋" w:hAnsi="仿宋" w:eastAsia="仿宋"/>
          <w:sz w:val="32"/>
          <w:szCs w:val="32"/>
        </w:rPr>
        <w:t>服务</w:t>
      </w:r>
      <w:r>
        <w:rPr>
          <w:rFonts w:hint="eastAsia" w:ascii="仿宋" w:hAnsi="仿宋" w:eastAsia="仿宋"/>
          <w:sz w:val="32"/>
          <w:szCs w:val="32"/>
          <w:lang w:val="zh-CN"/>
        </w:rPr>
        <w:t>用车0辆、其他用车1辆，其他用车主要是：</w:t>
      </w:r>
      <w:r>
        <w:rPr>
          <w:rFonts w:ascii="仿宋_GB2312" w:hAnsi="仿宋_GB2312" w:eastAsia="仿宋_GB2312" w:cs="仿宋_GB2312"/>
          <w:color w:val="000000"/>
          <w:kern w:val="0"/>
          <w:sz w:val="32"/>
          <w:szCs w:val="32"/>
          <w:lang w:val="en-US" w:eastAsia="zh-CN" w:bidi="ar"/>
        </w:rPr>
        <w:t>科研业务需要，拉运动物及耗材</w:t>
      </w:r>
      <w:r>
        <w:rPr>
          <w:rFonts w:hint="eastAsia" w:ascii="仿宋" w:hAnsi="仿宋" w:eastAsia="仿宋"/>
          <w:sz w:val="32"/>
          <w:szCs w:val="32"/>
          <w:lang w:val="zh-CN"/>
        </w:rPr>
        <w:t>；单价100万元（含）以上设备（不含车辆）0</w:t>
      </w:r>
      <w:r>
        <w:rPr>
          <w:rFonts w:hint="eastAsia" w:ascii="仿宋" w:hAnsi="仿宋" w:eastAsia="仿宋"/>
          <w:sz w:val="32"/>
          <w:szCs w:val="32"/>
        </w:rPr>
        <w:t>台</w:t>
      </w:r>
      <w:r>
        <w:rPr>
          <w:rFonts w:hint="eastAsia" w:ascii="仿宋" w:hAnsi="仿宋" w:eastAsia="仿宋"/>
          <w:sz w:val="32"/>
          <w:szCs w:val="32"/>
          <w:lang w:val="zh-CN"/>
        </w:rPr>
        <w:t>。</w:t>
      </w:r>
    </w:p>
    <w:p>
      <w:pPr>
        <w:ind w:firstLine="640" w:firstLineChars="200"/>
        <w:jc w:val="left"/>
        <w:outlineLvl w:val="1"/>
        <w:rPr>
          <w:rFonts w:hint="eastAsia" w:ascii="黑体" w:hAnsi="黑体" w:eastAsia="黑体" w:cs="黑体"/>
          <w:bCs/>
          <w:kern w:val="0"/>
          <w:sz w:val="32"/>
          <w:szCs w:val="32"/>
        </w:rPr>
      </w:pPr>
      <w:bookmarkStart w:id="28" w:name="_Toc435"/>
      <w:bookmarkStart w:id="29" w:name="_Toc11283"/>
      <w:r>
        <w:rPr>
          <w:rFonts w:hint="eastAsia" w:ascii="黑体" w:hAnsi="黑体" w:eastAsia="黑体" w:cs="黑体"/>
          <w:bCs/>
          <w:kern w:val="0"/>
          <w:sz w:val="32"/>
          <w:szCs w:val="32"/>
        </w:rPr>
        <w:t>十一、预算绩效的情况说明</w:t>
      </w:r>
      <w:bookmarkEnd w:id="28"/>
      <w:bookmarkEnd w:id="29"/>
    </w:p>
    <w:p>
      <w:pPr>
        <w:ind w:firstLine="640" w:firstLineChars="200"/>
        <w:jc w:val="both"/>
        <w:rPr>
          <w:rFonts w:hint="eastAsia" w:ascii="仿宋" w:hAnsi="仿宋" w:eastAsia="仿宋"/>
          <w:sz w:val="32"/>
          <w:szCs w:val="32"/>
        </w:rPr>
      </w:pPr>
      <w:r>
        <w:rPr>
          <w:rFonts w:hint="eastAsia" w:ascii="仿宋" w:hAnsi="仿宋" w:eastAsia="仿宋"/>
          <w:sz w:val="32"/>
          <w:szCs w:val="32"/>
          <w:lang w:val="en-US" w:eastAsia="zh-CN"/>
        </w:rPr>
        <w:t>根据预算绩效管理要求，我单位2023年度预算绩效管理整体支出绩效自评表0个，全年预算总额0万元，实际执行总额0万元，我单位整体支出绩效自评是由新疆维吾尔自治区科学技术厅（部门）完成；</w:t>
      </w:r>
      <w:r>
        <w:rPr>
          <w:rFonts w:hint="eastAsia" w:ascii="仿宋" w:hAnsi="仿宋" w:eastAsia="仿宋"/>
          <w:sz w:val="32"/>
          <w:szCs w:val="32"/>
        </w:rPr>
        <w:t>预算绩效评价项目</w:t>
      </w:r>
      <w:r>
        <w:rPr>
          <w:rFonts w:hint="eastAsia" w:ascii="仿宋" w:hAnsi="仿宋" w:eastAsia="仿宋"/>
          <w:sz w:val="32"/>
          <w:szCs w:val="32"/>
          <w:lang w:val="en-US" w:eastAsia="zh-CN"/>
        </w:rPr>
        <w:t>1</w:t>
      </w:r>
      <w:r>
        <w:rPr>
          <w:rFonts w:hint="eastAsia" w:ascii="仿宋" w:hAnsi="仿宋" w:eastAsia="仿宋"/>
          <w:sz w:val="32"/>
          <w:szCs w:val="32"/>
        </w:rPr>
        <w:t>个，全年预算数</w:t>
      </w:r>
      <w:r>
        <w:rPr>
          <w:rFonts w:hint="eastAsia" w:ascii="仿宋" w:hAnsi="仿宋" w:eastAsia="仿宋"/>
          <w:sz w:val="32"/>
          <w:szCs w:val="32"/>
          <w:lang w:val="en-US" w:eastAsia="zh-CN"/>
        </w:rPr>
        <w:t>900.00</w:t>
      </w:r>
      <w:r>
        <w:rPr>
          <w:rFonts w:hint="eastAsia" w:ascii="仿宋" w:hAnsi="仿宋" w:eastAsia="仿宋"/>
          <w:sz w:val="32"/>
          <w:szCs w:val="32"/>
        </w:rPr>
        <w:t>万元，全年执行数</w:t>
      </w:r>
      <w:r>
        <w:rPr>
          <w:rFonts w:hint="eastAsia" w:ascii="仿宋" w:hAnsi="仿宋" w:eastAsia="仿宋"/>
          <w:sz w:val="32"/>
          <w:szCs w:val="32"/>
          <w:lang w:val="en-US" w:eastAsia="zh-CN"/>
        </w:rPr>
        <w:t>900.00</w:t>
      </w:r>
      <w:r>
        <w:rPr>
          <w:rFonts w:hint="eastAsia" w:ascii="仿宋" w:hAnsi="仿宋" w:eastAsia="仿宋"/>
          <w:sz w:val="32"/>
          <w:szCs w:val="32"/>
        </w:rPr>
        <w:t>万元。预算绩效管理取得的成效：一是在项目执行期内累计发表相关学术论文31篇，其中SCI 收录10篇；授权国家发明专利5项；获自治区科学进步一等奖1项，其他各级各类科学技术奖项4项；取得科技成果转化项目1项；获得人才培养计划项目7项；培养博士、硕士研究生10名</w:t>
      </w:r>
      <w:r>
        <w:rPr>
          <w:rFonts w:hint="eastAsia" w:ascii="仿宋" w:hAnsi="仿宋" w:eastAsia="仿宋"/>
          <w:sz w:val="32"/>
          <w:szCs w:val="32"/>
          <w:lang w:eastAsia="zh-CN"/>
        </w:rPr>
        <w:t>；</w:t>
      </w:r>
      <w:r>
        <w:rPr>
          <w:rFonts w:hint="eastAsia" w:ascii="仿宋" w:hAnsi="仿宋" w:eastAsia="仿宋"/>
          <w:sz w:val="32"/>
          <w:szCs w:val="32"/>
          <w:lang w:val="en-US" w:eastAsia="zh-CN"/>
        </w:rPr>
        <w:t>二是</w:t>
      </w:r>
      <w:r>
        <w:rPr>
          <w:rFonts w:hint="eastAsia" w:ascii="仿宋" w:hAnsi="仿宋" w:eastAsia="仿宋"/>
          <w:sz w:val="32"/>
          <w:szCs w:val="32"/>
        </w:rPr>
        <w:t>通过该项目的实施，进一步激发了科研人员的积极性和创造性，大大提高了科研人员的创新意识，尤其是青年科技人才队伍素质得到不断提高，助推和提升了单位整体的科研实力和科研水平。发现的问题及原因：一是绩效管理意识比较薄弱</w:t>
      </w:r>
      <w:r>
        <w:rPr>
          <w:rFonts w:hint="eastAsia" w:ascii="仿宋" w:hAnsi="仿宋" w:eastAsia="仿宋"/>
          <w:sz w:val="32"/>
          <w:szCs w:val="32"/>
          <w:lang w:eastAsia="zh-CN"/>
        </w:rPr>
        <w:t>，</w:t>
      </w:r>
      <w:r>
        <w:rPr>
          <w:rFonts w:hint="eastAsia" w:ascii="仿宋" w:hAnsi="仿宋" w:eastAsia="仿宋"/>
          <w:sz w:val="32"/>
          <w:szCs w:val="32"/>
        </w:rPr>
        <w:t>工作缺乏主动性和积极性；二是绩效跟踪不及时、不到位等问题。下一步改进措施：一是进一步增强绩效管理理念，履行预算管理责任，高度重视预算绩效管理工作；二是加强与各部门的协调和沟通，强化过程管理，提高服务水平，切实做好预算执行和绩效管理工作，不断提高资金使用效益。具体项目自评情况附绩效自评表。</w:t>
      </w:r>
    </w:p>
    <w:p>
      <w:pPr>
        <w:ind w:firstLine="640" w:firstLineChars="200"/>
        <w:jc w:val="left"/>
        <w:rPr>
          <w:rFonts w:hint="eastAsia" w:ascii="黑体" w:hAnsi="黑体" w:eastAsia="黑体" w:cs="黑体"/>
          <w:bCs/>
          <w:kern w:val="0"/>
          <w:sz w:val="32"/>
          <w:szCs w:val="32"/>
        </w:rPr>
      </w:pPr>
      <w:r>
        <w:rPr>
          <w:rFonts w:hint="eastAsia" w:ascii="黑体" w:hAnsi="黑体" w:eastAsia="黑体" w:cs="黑体"/>
          <w:bCs/>
          <w:kern w:val="0"/>
          <w:sz w:val="32"/>
          <w:szCs w:val="32"/>
        </w:rPr>
        <w:t>十二、其他需说明的事项</w:t>
      </w:r>
    </w:p>
    <w:p>
      <w:pPr>
        <w:ind w:firstLine="640" w:firstLineChars="200"/>
        <w:jc w:val="center"/>
        <w:rPr>
          <w:rFonts w:ascii="仿宋" w:hAnsi="仿宋" w:eastAsia="仿宋"/>
          <w:sz w:val="32"/>
          <w:szCs w:val="32"/>
        </w:rPr>
      </w:pPr>
      <w:r>
        <w:rPr>
          <w:rFonts w:hint="eastAsia" w:ascii="仿宋" w:hAnsi="仿宋" w:eastAsia="仿宋" w:cs="仿宋_GB2312"/>
          <w:kern w:val="0"/>
          <w:sz w:val="32"/>
          <w:szCs w:val="32"/>
        </w:rPr>
        <w:t>本单位无其他需说明事项</w:t>
      </w:r>
      <w:bookmarkStart w:id="30" w:name="_Toc24143"/>
      <w:bookmarkStart w:id="31" w:name="_Toc3250"/>
      <w:r>
        <w:rPr>
          <w:rFonts w:hint="eastAsia" w:ascii="仿宋" w:hAnsi="仿宋" w:eastAsia="仿宋" w:cs="仿宋_GB2312"/>
          <w:kern w:val="0"/>
          <w:sz w:val="32"/>
          <w:szCs w:val="32"/>
          <w:lang w:eastAsia="zh-CN"/>
        </w:rPr>
        <w:t>。</w:t>
      </w:r>
      <w:r>
        <w:rPr>
          <w:rFonts w:hint="eastAsia" w:ascii="仿宋" w:hAnsi="仿宋" w:eastAsia="仿宋"/>
          <w:sz w:val="32"/>
          <w:szCs w:val="32"/>
        </w:rPr>
        <w:br w:type="page"/>
      </w:r>
      <w:bookmarkStart w:id="48" w:name="_GoBack"/>
      <w:r>
        <w:rPr>
          <w:rFonts w:hint="eastAsia" w:ascii="黑体" w:hAnsi="黑体" w:eastAsia="黑体" w:cs="黑体"/>
          <w:sz w:val="32"/>
          <w:szCs w:val="32"/>
        </w:rPr>
        <w:t>第三部分 专业名词解释</w:t>
      </w:r>
      <w:bookmarkEnd w:id="30"/>
      <w:bookmarkEnd w:id="31"/>
    </w:p>
    <w:bookmarkEnd w:id="48"/>
    <w:p>
      <w:pPr>
        <w:autoSpaceDE w:val="0"/>
        <w:autoSpaceDN w:val="0"/>
        <w:ind w:firstLine="643" w:firstLineChars="200"/>
        <w:jc w:val="left"/>
        <w:rPr>
          <w:rFonts w:ascii="仿宋" w:hAnsi="仿宋" w:eastAsia="仿宋"/>
          <w:sz w:val="32"/>
          <w:szCs w:val="32"/>
        </w:rPr>
      </w:pPr>
      <w:r>
        <w:rPr>
          <w:rFonts w:hint="eastAsia" w:ascii="仿宋" w:hAnsi="仿宋" w:eastAsia="仿宋"/>
          <w:b/>
          <w:bCs/>
          <w:sz w:val="32"/>
          <w:szCs w:val="32"/>
        </w:rPr>
        <w:t>一、财政拨款收入：</w:t>
      </w:r>
      <w:r>
        <w:rPr>
          <w:rFonts w:hint="eastAsia" w:ascii="仿宋" w:hAnsi="仿宋" w:eastAsia="仿宋"/>
          <w:sz w:val="32"/>
          <w:szCs w:val="32"/>
        </w:rPr>
        <w:t>指同级财政当年拨付的资金。</w:t>
      </w:r>
    </w:p>
    <w:p>
      <w:pPr>
        <w:autoSpaceDE w:val="0"/>
        <w:autoSpaceDN w:val="0"/>
        <w:ind w:firstLine="643" w:firstLineChars="200"/>
        <w:jc w:val="left"/>
        <w:rPr>
          <w:rFonts w:ascii="仿宋" w:hAnsi="仿宋" w:eastAsia="仿宋"/>
          <w:sz w:val="32"/>
          <w:szCs w:val="32"/>
        </w:rPr>
      </w:pPr>
      <w:r>
        <w:rPr>
          <w:rFonts w:hint="eastAsia" w:ascii="仿宋" w:hAnsi="仿宋" w:eastAsia="仿宋"/>
          <w:b/>
          <w:bCs/>
          <w:sz w:val="32"/>
          <w:szCs w:val="32"/>
        </w:rPr>
        <w:t>二、上级补助收入：</w:t>
      </w:r>
      <w:r>
        <w:rPr>
          <w:rFonts w:hint="eastAsia" w:ascii="仿宋" w:hAnsi="仿宋" w:eastAsia="仿宋"/>
          <w:sz w:val="32"/>
          <w:szCs w:val="32"/>
        </w:rPr>
        <w:t>指事业单位从主管部门和上级单位取得的非财政补助收入。</w:t>
      </w:r>
    </w:p>
    <w:p>
      <w:pPr>
        <w:autoSpaceDE w:val="0"/>
        <w:autoSpaceDN w:val="0"/>
        <w:ind w:firstLine="643" w:firstLineChars="200"/>
        <w:jc w:val="left"/>
        <w:rPr>
          <w:rFonts w:ascii="仿宋" w:hAnsi="仿宋" w:eastAsia="仿宋"/>
          <w:sz w:val="32"/>
          <w:szCs w:val="32"/>
        </w:rPr>
      </w:pPr>
      <w:r>
        <w:rPr>
          <w:rFonts w:hint="eastAsia" w:ascii="仿宋" w:hAnsi="仿宋" w:eastAsia="仿宋"/>
          <w:b/>
          <w:bCs/>
          <w:sz w:val="32"/>
          <w:szCs w:val="32"/>
        </w:rPr>
        <w:t>三、事业收入：</w:t>
      </w:r>
      <w:r>
        <w:rPr>
          <w:rFonts w:hint="eastAsia" w:ascii="仿宋" w:hAnsi="仿宋" w:eastAsia="仿宋"/>
          <w:sz w:val="32"/>
          <w:szCs w:val="32"/>
        </w:rPr>
        <w:t>指事业单位开展专业业务活动及其辅助活动所取得的收入。</w:t>
      </w:r>
    </w:p>
    <w:p>
      <w:pPr>
        <w:autoSpaceDE w:val="0"/>
        <w:autoSpaceDN w:val="0"/>
        <w:ind w:firstLine="643" w:firstLineChars="200"/>
        <w:jc w:val="left"/>
        <w:rPr>
          <w:rFonts w:ascii="仿宋" w:hAnsi="仿宋" w:eastAsia="仿宋"/>
          <w:sz w:val="32"/>
          <w:szCs w:val="32"/>
        </w:rPr>
      </w:pPr>
      <w:r>
        <w:rPr>
          <w:rFonts w:hint="eastAsia" w:ascii="仿宋" w:hAnsi="仿宋" w:eastAsia="仿宋"/>
          <w:b/>
          <w:bCs/>
          <w:sz w:val="32"/>
          <w:szCs w:val="32"/>
        </w:rPr>
        <w:t>四、经营收入：</w:t>
      </w:r>
      <w:r>
        <w:rPr>
          <w:rFonts w:hint="eastAsia" w:ascii="仿宋" w:hAnsi="仿宋" w:eastAsia="仿宋"/>
          <w:sz w:val="32"/>
          <w:szCs w:val="32"/>
        </w:rPr>
        <w:t>指事业单位在专业业务活动及其辅助活动之外开展非独立核算经营活动取得的收入。</w:t>
      </w:r>
    </w:p>
    <w:p>
      <w:pPr>
        <w:autoSpaceDE w:val="0"/>
        <w:autoSpaceDN w:val="0"/>
        <w:ind w:firstLine="643" w:firstLineChars="200"/>
        <w:jc w:val="left"/>
        <w:rPr>
          <w:rFonts w:ascii="仿宋" w:hAnsi="仿宋" w:eastAsia="仿宋"/>
          <w:sz w:val="32"/>
          <w:szCs w:val="32"/>
        </w:rPr>
      </w:pPr>
      <w:r>
        <w:rPr>
          <w:rFonts w:hint="eastAsia" w:ascii="仿宋" w:hAnsi="仿宋" w:eastAsia="仿宋"/>
          <w:b/>
          <w:bCs/>
          <w:sz w:val="32"/>
          <w:szCs w:val="32"/>
        </w:rPr>
        <w:t>五、附属单位上缴收入：</w:t>
      </w:r>
      <w:r>
        <w:rPr>
          <w:rFonts w:hint="eastAsia" w:ascii="仿宋" w:hAnsi="仿宋" w:eastAsia="仿宋"/>
          <w:sz w:val="32"/>
          <w:szCs w:val="32"/>
        </w:rPr>
        <w:t>指事业单位附属的独立核算单位按有关规定上缴的收入。</w:t>
      </w:r>
    </w:p>
    <w:p>
      <w:pPr>
        <w:autoSpaceDE w:val="0"/>
        <w:autoSpaceDN w:val="0"/>
        <w:ind w:firstLine="643" w:firstLineChars="200"/>
        <w:jc w:val="left"/>
        <w:rPr>
          <w:rFonts w:ascii="仿宋" w:hAnsi="仿宋" w:eastAsia="仿宋"/>
          <w:sz w:val="32"/>
          <w:szCs w:val="32"/>
        </w:rPr>
      </w:pPr>
      <w:r>
        <w:rPr>
          <w:rFonts w:hint="eastAsia" w:ascii="仿宋" w:hAnsi="仿宋" w:eastAsia="仿宋"/>
          <w:b/>
          <w:bCs/>
          <w:sz w:val="32"/>
          <w:szCs w:val="32"/>
        </w:rPr>
        <w:t>六、其他收入：</w:t>
      </w:r>
      <w:r>
        <w:rPr>
          <w:rFonts w:hint="eastAsia" w:ascii="仿宋" w:hAnsi="仿宋" w:eastAsia="仿宋"/>
          <w:sz w:val="32"/>
          <w:szCs w:val="32"/>
        </w:rPr>
        <w:t>指除上述“财政拨款收入”、“事业收入”、“经营收入”、“附属单位上缴收入”等之外取得的收入。</w:t>
      </w:r>
    </w:p>
    <w:p>
      <w:pPr>
        <w:autoSpaceDE w:val="0"/>
        <w:autoSpaceDN w:val="0"/>
        <w:ind w:firstLine="643" w:firstLineChars="200"/>
        <w:jc w:val="both"/>
        <w:rPr>
          <w:rFonts w:ascii="仿宋" w:hAnsi="仿宋" w:eastAsia="仿宋"/>
          <w:sz w:val="32"/>
          <w:szCs w:val="32"/>
        </w:rPr>
      </w:pPr>
      <w:r>
        <w:rPr>
          <w:rFonts w:hint="eastAsia" w:ascii="仿宋" w:hAnsi="仿宋" w:eastAsia="仿宋"/>
          <w:b/>
          <w:bCs/>
          <w:sz w:val="32"/>
          <w:szCs w:val="32"/>
        </w:rPr>
        <w:t>七、年初结转和结余：</w:t>
      </w:r>
      <w:r>
        <w:rPr>
          <w:rFonts w:hint="eastAsia" w:ascii="仿宋" w:hAnsi="仿宋" w:eastAsia="仿宋"/>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both"/>
        <w:rPr>
          <w:rFonts w:ascii="仿宋" w:hAnsi="仿宋" w:eastAsia="仿宋"/>
          <w:sz w:val="32"/>
          <w:szCs w:val="32"/>
        </w:rPr>
      </w:pPr>
      <w:r>
        <w:rPr>
          <w:rFonts w:hint="eastAsia" w:ascii="仿宋" w:hAnsi="仿宋" w:eastAsia="仿宋"/>
          <w:b/>
          <w:bCs/>
          <w:sz w:val="32"/>
          <w:szCs w:val="32"/>
        </w:rPr>
        <w:t>八、年末结转和结余：</w:t>
      </w:r>
      <w:r>
        <w:rPr>
          <w:rFonts w:hint="eastAsia" w:ascii="仿宋" w:hAnsi="仿宋" w:eastAsia="仿宋"/>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 w:hAnsi="仿宋" w:eastAsia="仿宋"/>
          <w:sz w:val="32"/>
          <w:szCs w:val="32"/>
        </w:rPr>
      </w:pPr>
      <w:r>
        <w:rPr>
          <w:rFonts w:hint="eastAsia" w:ascii="仿宋" w:hAnsi="仿宋" w:eastAsia="仿宋"/>
          <w:b/>
          <w:bCs/>
          <w:sz w:val="32"/>
          <w:szCs w:val="32"/>
        </w:rPr>
        <w:t>九、基本支出：</w:t>
      </w:r>
      <w:r>
        <w:rPr>
          <w:rFonts w:hint="eastAsia" w:ascii="仿宋" w:hAnsi="仿宋" w:eastAsia="仿宋"/>
          <w:sz w:val="32"/>
          <w:szCs w:val="32"/>
        </w:rPr>
        <w:t>指为保障机构正常运转、完成日常工作任务而发生的人员支出和公用支出。</w:t>
      </w:r>
    </w:p>
    <w:p>
      <w:pPr>
        <w:autoSpaceDE w:val="0"/>
        <w:autoSpaceDN w:val="0"/>
        <w:ind w:firstLine="643" w:firstLineChars="200"/>
        <w:jc w:val="left"/>
        <w:rPr>
          <w:rFonts w:ascii="仿宋" w:hAnsi="仿宋" w:eastAsia="仿宋"/>
          <w:sz w:val="32"/>
          <w:szCs w:val="32"/>
        </w:rPr>
      </w:pPr>
      <w:r>
        <w:rPr>
          <w:rFonts w:hint="eastAsia" w:ascii="仿宋" w:hAnsi="仿宋" w:eastAsia="仿宋"/>
          <w:b/>
          <w:bCs/>
          <w:sz w:val="32"/>
          <w:szCs w:val="32"/>
        </w:rPr>
        <w:t>十、项目支出：</w:t>
      </w:r>
      <w:r>
        <w:rPr>
          <w:rFonts w:hint="eastAsia" w:ascii="仿宋" w:hAnsi="仿宋" w:eastAsia="仿宋"/>
          <w:sz w:val="32"/>
          <w:szCs w:val="32"/>
        </w:rPr>
        <w:t>指在基本支出之外为完成特定行政任务和事业发展目标所发生的支出。</w:t>
      </w:r>
    </w:p>
    <w:p>
      <w:pPr>
        <w:autoSpaceDE w:val="0"/>
        <w:autoSpaceDN w:val="0"/>
        <w:ind w:firstLine="643" w:firstLineChars="200"/>
        <w:rPr>
          <w:rFonts w:ascii="仿宋" w:hAnsi="仿宋" w:eastAsia="仿宋"/>
          <w:sz w:val="32"/>
          <w:szCs w:val="32"/>
        </w:rPr>
      </w:pPr>
      <w:r>
        <w:rPr>
          <w:rFonts w:hint="eastAsia" w:ascii="仿宋" w:hAnsi="仿宋" w:eastAsia="仿宋"/>
          <w:b/>
          <w:bCs/>
          <w:sz w:val="32"/>
          <w:szCs w:val="32"/>
        </w:rPr>
        <w:t>十一、经营支出：</w:t>
      </w:r>
      <w:r>
        <w:rPr>
          <w:rFonts w:hint="eastAsia" w:ascii="仿宋" w:hAnsi="仿宋" w:eastAsia="仿宋"/>
          <w:sz w:val="32"/>
          <w:szCs w:val="32"/>
        </w:rPr>
        <w:t>指事业单位在专业业务活动及其辅助活动之外开展非独立核算经营活动发生的支出。</w:t>
      </w:r>
    </w:p>
    <w:p>
      <w:pPr>
        <w:autoSpaceDE w:val="0"/>
        <w:autoSpaceDN w:val="0"/>
        <w:ind w:firstLine="643" w:firstLineChars="200"/>
        <w:rPr>
          <w:rFonts w:ascii="仿宋" w:hAnsi="仿宋" w:eastAsia="仿宋"/>
          <w:sz w:val="32"/>
          <w:szCs w:val="32"/>
        </w:rPr>
      </w:pPr>
      <w:r>
        <w:rPr>
          <w:rFonts w:hint="eastAsia" w:ascii="仿宋" w:hAnsi="仿宋" w:eastAsia="仿宋"/>
          <w:b/>
          <w:bCs/>
          <w:sz w:val="32"/>
          <w:szCs w:val="32"/>
        </w:rPr>
        <w:t>十二、对附属单位补助支出：</w:t>
      </w:r>
      <w:r>
        <w:rPr>
          <w:rFonts w:hint="eastAsia" w:ascii="仿宋" w:hAnsi="仿宋" w:eastAsia="仿宋"/>
          <w:sz w:val="32"/>
          <w:szCs w:val="32"/>
        </w:rPr>
        <w:t>指事业单位发生的用非财政预算资金对附属单位的补助支出。</w:t>
      </w:r>
    </w:p>
    <w:p>
      <w:pPr>
        <w:autoSpaceDE w:val="0"/>
        <w:autoSpaceDN w:val="0"/>
        <w:ind w:firstLine="643" w:firstLineChars="200"/>
        <w:rPr>
          <w:rFonts w:ascii="仿宋" w:hAnsi="仿宋" w:eastAsia="仿宋"/>
          <w:sz w:val="32"/>
          <w:szCs w:val="32"/>
        </w:rPr>
      </w:pPr>
      <w:r>
        <w:rPr>
          <w:rFonts w:hint="eastAsia" w:ascii="仿宋" w:hAnsi="仿宋" w:eastAsia="仿宋"/>
          <w:b/>
          <w:bCs/>
          <w:sz w:val="32"/>
          <w:szCs w:val="32"/>
        </w:rPr>
        <w:t>十三、“三公”经费：</w:t>
      </w:r>
      <w:r>
        <w:rPr>
          <w:rFonts w:hint="eastAsia" w:ascii="仿宋" w:hAnsi="仿宋" w:eastAsia="仿宋"/>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 w:hAnsi="仿宋" w:eastAsia="仿宋"/>
          <w:sz w:val="32"/>
          <w:szCs w:val="32"/>
        </w:rPr>
      </w:pPr>
      <w:r>
        <w:rPr>
          <w:rFonts w:hint="eastAsia" w:ascii="仿宋" w:hAnsi="仿宋" w:eastAsia="仿宋"/>
          <w:b/>
          <w:bCs/>
          <w:sz w:val="32"/>
          <w:szCs w:val="32"/>
        </w:rPr>
        <w:t>十四、机关运行经费：</w:t>
      </w:r>
      <w:r>
        <w:rPr>
          <w:rFonts w:hint="eastAsia" w:ascii="仿宋" w:hAnsi="仿宋" w:eastAsia="仿宋"/>
          <w:sz w:val="32"/>
          <w:szCs w:val="32"/>
        </w:rPr>
        <w:t>行政单位和参照公务员法管理的事业单位财政拨款基本支出中的公用经费支出。</w:t>
      </w:r>
    </w:p>
    <w:p>
      <w:pPr>
        <w:ind w:firstLine="640" w:firstLineChars="200"/>
        <w:jc w:val="center"/>
        <w:outlineLvl w:val="0"/>
        <w:rPr>
          <w:rFonts w:ascii="仿宋" w:hAnsi="仿宋" w:eastAsia="仿宋"/>
          <w:sz w:val="32"/>
          <w:szCs w:val="32"/>
        </w:rPr>
      </w:pPr>
      <w:r>
        <w:rPr>
          <w:rFonts w:hint="eastAsia" w:ascii="仿宋" w:hAnsi="仿宋" w:eastAsia="仿宋"/>
          <w:sz w:val="32"/>
          <w:szCs w:val="32"/>
        </w:rPr>
        <w:br w:type="page"/>
      </w:r>
      <w:r>
        <w:rPr>
          <w:rFonts w:hint="eastAsia" w:ascii="黑体" w:hAnsi="黑体" w:eastAsia="黑体" w:cs="黑体"/>
          <w:sz w:val="32"/>
          <w:szCs w:val="32"/>
        </w:rPr>
        <w:t>第四部分 部门决算报表（见附表）</w:t>
      </w:r>
    </w:p>
    <w:p>
      <w:pPr>
        <w:ind w:firstLine="640" w:firstLineChars="200"/>
        <w:outlineLvl w:val="1"/>
        <w:rPr>
          <w:rFonts w:ascii="仿宋" w:hAnsi="仿宋" w:eastAsia="仿宋" w:cs="宋体"/>
          <w:bCs/>
          <w:kern w:val="0"/>
          <w:sz w:val="32"/>
          <w:szCs w:val="32"/>
        </w:rPr>
      </w:pPr>
      <w:bookmarkStart w:id="32" w:name="_Toc2183"/>
      <w:bookmarkStart w:id="33" w:name="_Toc6062"/>
      <w:r>
        <w:rPr>
          <w:rFonts w:hint="eastAsia" w:ascii="仿宋" w:hAnsi="仿宋" w:eastAsia="仿宋" w:cs="宋体"/>
          <w:bCs/>
          <w:kern w:val="0"/>
          <w:sz w:val="32"/>
          <w:szCs w:val="32"/>
        </w:rPr>
        <w:t>一、《收入支出决算总表》</w:t>
      </w:r>
      <w:bookmarkEnd w:id="32"/>
      <w:bookmarkEnd w:id="33"/>
    </w:p>
    <w:p>
      <w:pPr>
        <w:ind w:firstLine="640" w:firstLineChars="200"/>
        <w:outlineLvl w:val="1"/>
        <w:rPr>
          <w:rFonts w:ascii="仿宋" w:hAnsi="仿宋" w:eastAsia="仿宋" w:cs="宋体"/>
          <w:bCs/>
          <w:kern w:val="0"/>
          <w:sz w:val="32"/>
          <w:szCs w:val="32"/>
        </w:rPr>
      </w:pPr>
      <w:bookmarkStart w:id="34" w:name="_Toc24532"/>
      <w:bookmarkStart w:id="35" w:name="_Toc30364"/>
      <w:r>
        <w:rPr>
          <w:rFonts w:hint="eastAsia" w:ascii="仿宋" w:hAnsi="仿宋" w:eastAsia="仿宋" w:cs="宋体"/>
          <w:bCs/>
          <w:kern w:val="0"/>
          <w:sz w:val="32"/>
          <w:szCs w:val="32"/>
        </w:rPr>
        <w:t>二、《收入决算表》</w:t>
      </w:r>
      <w:bookmarkEnd w:id="34"/>
      <w:bookmarkEnd w:id="35"/>
    </w:p>
    <w:p>
      <w:pPr>
        <w:ind w:firstLine="640" w:firstLineChars="200"/>
        <w:outlineLvl w:val="1"/>
        <w:rPr>
          <w:rFonts w:ascii="仿宋" w:hAnsi="仿宋" w:eastAsia="仿宋" w:cs="宋体"/>
          <w:bCs/>
          <w:kern w:val="0"/>
          <w:sz w:val="32"/>
          <w:szCs w:val="32"/>
        </w:rPr>
      </w:pPr>
      <w:bookmarkStart w:id="36" w:name="_Toc32434"/>
      <w:bookmarkStart w:id="37" w:name="_Toc21304"/>
      <w:r>
        <w:rPr>
          <w:rFonts w:hint="eastAsia" w:ascii="仿宋" w:hAnsi="仿宋" w:eastAsia="仿宋" w:cs="宋体"/>
          <w:bCs/>
          <w:kern w:val="0"/>
          <w:sz w:val="32"/>
          <w:szCs w:val="32"/>
        </w:rPr>
        <w:t>三、《支出决算表》</w:t>
      </w:r>
      <w:bookmarkEnd w:id="36"/>
      <w:bookmarkEnd w:id="37"/>
    </w:p>
    <w:p>
      <w:pPr>
        <w:ind w:firstLine="640" w:firstLineChars="200"/>
        <w:outlineLvl w:val="1"/>
        <w:rPr>
          <w:rFonts w:ascii="仿宋" w:hAnsi="仿宋" w:eastAsia="仿宋" w:cs="宋体"/>
          <w:bCs/>
          <w:kern w:val="0"/>
          <w:sz w:val="32"/>
          <w:szCs w:val="32"/>
        </w:rPr>
      </w:pPr>
      <w:bookmarkStart w:id="38" w:name="_Toc28786"/>
      <w:bookmarkStart w:id="39" w:name="_Toc14238"/>
      <w:r>
        <w:rPr>
          <w:rFonts w:hint="eastAsia" w:ascii="仿宋" w:hAnsi="仿宋" w:eastAsia="仿宋" w:cs="宋体"/>
          <w:bCs/>
          <w:kern w:val="0"/>
          <w:sz w:val="32"/>
          <w:szCs w:val="32"/>
        </w:rPr>
        <w:t>四、《财政拨款收入支出决算总表》</w:t>
      </w:r>
      <w:bookmarkEnd w:id="38"/>
      <w:bookmarkEnd w:id="39"/>
    </w:p>
    <w:p>
      <w:pPr>
        <w:ind w:firstLine="640" w:firstLineChars="200"/>
        <w:outlineLvl w:val="1"/>
        <w:rPr>
          <w:rFonts w:ascii="仿宋" w:hAnsi="仿宋" w:eastAsia="仿宋" w:cs="宋体"/>
          <w:bCs/>
          <w:kern w:val="0"/>
          <w:sz w:val="32"/>
          <w:szCs w:val="32"/>
        </w:rPr>
      </w:pPr>
      <w:bookmarkStart w:id="40" w:name="_Toc14869"/>
      <w:bookmarkStart w:id="41" w:name="_Toc10347"/>
      <w:r>
        <w:rPr>
          <w:rFonts w:hint="eastAsia" w:ascii="仿宋" w:hAnsi="仿宋" w:eastAsia="仿宋" w:cs="宋体"/>
          <w:bCs/>
          <w:kern w:val="0"/>
          <w:sz w:val="32"/>
          <w:szCs w:val="32"/>
        </w:rPr>
        <w:t>五、《一般公共预算财政拨款支出决算表》</w:t>
      </w:r>
      <w:bookmarkEnd w:id="40"/>
      <w:bookmarkEnd w:id="41"/>
    </w:p>
    <w:p>
      <w:pPr>
        <w:ind w:firstLine="640" w:firstLineChars="200"/>
        <w:outlineLvl w:val="1"/>
        <w:rPr>
          <w:rFonts w:ascii="仿宋" w:hAnsi="仿宋" w:eastAsia="仿宋" w:cs="宋体"/>
          <w:bCs/>
          <w:kern w:val="0"/>
          <w:sz w:val="32"/>
          <w:szCs w:val="32"/>
        </w:rPr>
      </w:pPr>
      <w:bookmarkStart w:id="42" w:name="_Toc5626"/>
      <w:bookmarkStart w:id="43" w:name="_Toc8884"/>
      <w:r>
        <w:rPr>
          <w:rFonts w:hint="eastAsia" w:ascii="仿宋" w:hAnsi="仿宋" w:eastAsia="仿宋" w:cs="宋体"/>
          <w:bCs/>
          <w:kern w:val="0"/>
          <w:sz w:val="32"/>
          <w:szCs w:val="32"/>
        </w:rPr>
        <w:t>六、《一般公共预算财政拨款基本支出决算表》</w:t>
      </w:r>
      <w:bookmarkEnd w:id="42"/>
      <w:bookmarkEnd w:id="43"/>
    </w:p>
    <w:p>
      <w:pPr>
        <w:ind w:firstLine="640" w:firstLineChars="200"/>
        <w:outlineLvl w:val="1"/>
        <w:rPr>
          <w:rFonts w:ascii="仿宋" w:hAnsi="仿宋" w:eastAsia="仿宋" w:cs="宋体"/>
          <w:bCs/>
          <w:kern w:val="0"/>
          <w:sz w:val="32"/>
          <w:szCs w:val="32"/>
        </w:rPr>
      </w:pPr>
      <w:r>
        <w:rPr>
          <w:rFonts w:hint="eastAsia" w:ascii="仿宋" w:hAnsi="仿宋" w:eastAsia="仿宋" w:cs="宋体"/>
          <w:bCs/>
          <w:kern w:val="0"/>
          <w:sz w:val="32"/>
          <w:szCs w:val="32"/>
        </w:rPr>
        <w:t>七、</w:t>
      </w:r>
      <w:bookmarkStart w:id="44" w:name="_Toc29106"/>
      <w:bookmarkStart w:id="45" w:name="_Toc32663"/>
      <w:r>
        <w:rPr>
          <w:rFonts w:hint="eastAsia" w:ascii="仿宋" w:hAnsi="仿宋" w:eastAsia="仿宋" w:cs="宋体"/>
          <w:bCs/>
          <w:kern w:val="0"/>
          <w:sz w:val="32"/>
          <w:szCs w:val="32"/>
        </w:rPr>
        <w:t>《财政拨款“三公”经费支出决算表》</w:t>
      </w:r>
      <w:bookmarkEnd w:id="44"/>
      <w:bookmarkEnd w:id="45"/>
    </w:p>
    <w:p>
      <w:pPr>
        <w:ind w:firstLine="640" w:firstLineChars="200"/>
        <w:outlineLvl w:val="1"/>
        <w:rPr>
          <w:rFonts w:ascii="仿宋" w:hAnsi="仿宋" w:eastAsia="仿宋" w:cs="宋体"/>
          <w:bCs/>
          <w:kern w:val="0"/>
          <w:sz w:val="32"/>
          <w:szCs w:val="32"/>
        </w:rPr>
      </w:pPr>
      <w:bookmarkStart w:id="46" w:name="_Toc5453"/>
      <w:bookmarkStart w:id="47" w:name="_Toc7643"/>
      <w:r>
        <w:rPr>
          <w:rFonts w:hint="eastAsia" w:ascii="仿宋" w:hAnsi="仿宋" w:eastAsia="仿宋" w:cs="宋体"/>
          <w:bCs/>
          <w:kern w:val="0"/>
          <w:sz w:val="32"/>
          <w:szCs w:val="32"/>
        </w:rPr>
        <w:t>八、《政府性基金预算财政拨款收入支出决算表》</w:t>
      </w:r>
      <w:bookmarkEnd w:id="46"/>
      <w:bookmarkEnd w:id="47"/>
    </w:p>
    <w:p>
      <w:pPr>
        <w:ind w:firstLine="640" w:firstLineChars="200"/>
        <w:outlineLvl w:val="1"/>
        <w:rPr>
          <w:rFonts w:ascii="仿宋" w:hAnsi="仿宋" w:eastAsia="仿宋" w:cs="宋体"/>
          <w:bCs/>
          <w:kern w:val="0"/>
          <w:sz w:val="32"/>
          <w:szCs w:val="32"/>
        </w:rPr>
      </w:pPr>
      <w:r>
        <w:rPr>
          <w:rFonts w:hint="eastAsia" w:ascii="仿宋" w:hAnsi="仿宋" w:eastAsia="仿宋" w:cs="宋体"/>
          <w:bCs/>
          <w:kern w:val="0"/>
          <w:sz w:val="32"/>
          <w:szCs w:val="32"/>
        </w:rPr>
        <w:t>九、《国有资本经营预算财政拨款收入支出决算表》</w:t>
      </w:r>
    </w:p>
    <w:p>
      <w:pPr>
        <w:ind w:firstLine="640" w:firstLineChars="200"/>
        <w:rPr>
          <w:rFonts w:ascii="仿宋" w:hAnsi="仿宋" w:eastAsia="仿宋"/>
          <w:sz w:val="32"/>
          <w:szCs w:val="32"/>
        </w:rPr>
      </w:pPr>
    </w:p>
    <w:p>
      <w:pPr>
        <w:ind w:firstLine="640" w:firstLineChars="200"/>
        <w:outlineLvl w:val="1"/>
        <w:rPr>
          <w:rFonts w:ascii="仿宋" w:hAnsi="仿宋" w:eastAsia="仿宋"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wrap="none" lIns="0" tIns="0" rIns="0" bIns="0" upright="1">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bl05M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K&#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m5dOTIAQAAmQMAAA4AAAAAAAAAAQAgAAAAHgEAAGRycy9lMm9Eb2Mu&#10;eG1sUEsFBgAAAAAGAAYAWQEAAFg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abstractNum w:abstractNumId="1">
    <w:nsid w:val="2E2440A2"/>
    <w:multiLevelType w:val="singleLevel"/>
    <w:tmpl w:val="2E2440A2"/>
    <w:lvl w:ilvl="0" w:tentative="0">
      <w:start w:val="8"/>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iYjAxNzcyMDhlYTc3YzkxMWNhMWY2NmYxY2RhYjIifQ=="/>
    <w:docVar w:name="KSO_WPS_MARK_KEY" w:val="41ee2a61-2d54-4f93-83be-afdb9a40d732"/>
  </w:docVars>
  <w:rsids>
    <w:rsidRoot w:val="009F394A"/>
    <w:rsid w:val="00045A20"/>
    <w:rsid w:val="00213C59"/>
    <w:rsid w:val="003210CE"/>
    <w:rsid w:val="00966F17"/>
    <w:rsid w:val="009F394A"/>
    <w:rsid w:val="00B70D59"/>
    <w:rsid w:val="00F52A8D"/>
    <w:rsid w:val="019404F8"/>
    <w:rsid w:val="02BD3108"/>
    <w:rsid w:val="02F73D26"/>
    <w:rsid w:val="034D4FEF"/>
    <w:rsid w:val="035D1785"/>
    <w:rsid w:val="039F47CE"/>
    <w:rsid w:val="03E05CE8"/>
    <w:rsid w:val="03F973EE"/>
    <w:rsid w:val="043E5B56"/>
    <w:rsid w:val="04C04386"/>
    <w:rsid w:val="04D96608"/>
    <w:rsid w:val="04FA68C4"/>
    <w:rsid w:val="053F5AE6"/>
    <w:rsid w:val="057C0B0F"/>
    <w:rsid w:val="0591547A"/>
    <w:rsid w:val="05EF4B48"/>
    <w:rsid w:val="05F056DF"/>
    <w:rsid w:val="05F76ECA"/>
    <w:rsid w:val="06792773"/>
    <w:rsid w:val="07093795"/>
    <w:rsid w:val="07504EC1"/>
    <w:rsid w:val="07804730"/>
    <w:rsid w:val="079052BE"/>
    <w:rsid w:val="08145C21"/>
    <w:rsid w:val="08422688"/>
    <w:rsid w:val="085854ED"/>
    <w:rsid w:val="0879188F"/>
    <w:rsid w:val="08A0354D"/>
    <w:rsid w:val="08CD4C49"/>
    <w:rsid w:val="09114954"/>
    <w:rsid w:val="095A5B83"/>
    <w:rsid w:val="096466E3"/>
    <w:rsid w:val="0968304D"/>
    <w:rsid w:val="098A7E9A"/>
    <w:rsid w:val="09AF3D17"/>
    <w:rsid w:val="0A03621B"/>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0FE268D2"/>
    <w:rsid w:val="101271B8"/>
    <w:rsid w:val="105B0B5E"/>
    <w:rsid w:val="105E41AB"/>
    <w:rsid w:val="112E58D0"/>
    <w:rsid w:val="11731CAC"/>
    <w:rsid w:val="119500A0"/>
    <w:rsid w:val="11C0733B"/>
    <w:rsid w:val="11D50D17"/>
    <w:rsid w:val="120E0809"/>
    <w:rsid w:val="127F665A"/>
    <w:rsid w:val="12F7068C"/>
    <w:rsid w:val="13EC7D20"/>
    <w:rsid w:val="13F050F5"/>
    <w:rsid w:val="14207DC0"/>
    <w:rsid w:val="14B932DA"/>
    <w:rsid w:val="150A66AF"/>
    <w:rsid w:val="154C1139"/>
    <w:rsid w:val="158C5B77"/>
    <w:rsid w:val="160D1149"/>
    <w:rsid w:val="163563C0"/>
    <w:rsid w:val="164315EF"/>
    <w:rsid w:val="16557DFE"/>
    <w:rsid w:val="165B2F3A"/>
    <w:rsid w:val="167268FB"/>
    <w:rsid w:val="16770D0A"/>
    <w:rsid w:val="16D50C50"/>
    <w:rsid w:val="16E120E1"/>
    <w:rsid w:val="17385A05"/>
    <w:rsid w:val="173B3901"/>
    <w:rsid w:val="176747F9"/>
    <w:rsid w:val="17954A6E"/>
    <w:rsid w:val="180059E9"/>
    <w:rsid w:val="184510FD"/>
    <w:rsid w:val="190648B0"/>
    <w:rsid w:val="19071D6C"/>
    <w:rsid w:val="19D26CD4"/>
    <w:rsid w:val="19E60D19"/>
    <w:rsid w:val="19FE255B"/>
    <w:rsid w:val="1A3E3450"/>
    <w:rsid w:val="1AD807E5"/>
    <w:rsid w:val="1B39345B"/>
    <w:rsid w:val="1B570174"/>
    <w:rsid w:val="1BFB2A1F"/>
    <w:rsid w:val="1C015D4A"/>
    <w:rsid w:val="1C290ED5"/>
    <w:rsid w:val="1C317E4F"/>
    <w:rsid w:val="1C472464"/>
    <w:rsid w:val="1CE123EB"/>
    <w:rsid w:val="1CF00880"/>
    <w:rsid w:val="1D22799A"/>
    <w:rsid w:val="1D5C1A72"/>
    <w:rsid w:val="1DAF458D"/>
    <w:rsid w:val="1E086ACE"/>
    <w:rsid w:val="1E62130A"/>
    <w:rsid w:val="1E97358B"/>
    <w:rsid w:val="1EAA4A5F"/>
    <w:rsid w:val="1EE869A7"/>
    <w:rsid w:val="1F1A1BE5"/>
    <w:rsid w:val="1F3F789D"/>
    <w:rsid w:val="1F745772"/>
    <w:rsid w:val="1FA15E62"/>
    <w:rsid w:val="1FED69B6"/>
    <w:rsid w:val="2064678E"/>
    <w:rsid w:val="20DC1AB9"/>
    <w:rsid w:val="20DD6197"/>
    <w:rsid w:val="212631E0"/>
    <w:rsid w:val="21A53757"/>
    <w:rsid w:val="221236C6"/>
    <w:rsid w:val="22935D9B"/>
    <w:rsid w:val="22D7662C"/>
    <w:rsid w:val="23326B7F"/>
    <w:rsid w:val="2380045B"/>
    <w:rsid w:val="23BC04D2"/>
    <w:rsid w:val="23EF1892"/>
    <w:rsid w:val="2483647E"/>
    <w:rsid w:val="24A32D55"/>
    <w:rsid w:val="25292727"/>
    <w:rsid w:val="252E5CA9"/>
    <w:rsid w:val="256F7692"/>
    <w:rsid w:val="25BA2154"/>
    <w:rsid w:val="25C8773F"/>
    <w:rsid w:val="264A7253"/>
    <w:rsid w:val="26F0170C"/>
    <w:rsid w:val="26F86CAF"/>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8C050F"/>
    <w:rsid w:val="2AD74E2E"/>
    <w:rsid w:val="2AF5378F"/>
    <w:rsid w:val="2BB94DBF"/>
    <w:rsid w:val="2C6F314E"/>
    <w:rsid w:val="2CC206BE"/>
    <w:rsid w:val="2D1136DF"/>
    <w:rsid w:val="2D20606D"/>
    <w:rsid w:val="2DB87198"/>
    <w:rsid w:val="2DB93C54"/>
    <w:rsid w:val="2E3D144C"/>
    <w:rsid w:val="2E6E1289"/>
    <w:rsid w:val="2E891204"/>
    <w:rsid w:val="2F3F0A28"/>
    <w:rsid w:val="2FBF7029"/>
    <w:rsid w:val="2FD0187F"/>
    <w:rsid w:val="2FD27414"/>
    <w:rsid w:val="2FFE4BB0"/>
    <w:rsid w:val="300E7B60"/>
    <w:rsid w:val="300F6E18"/>
    <w:rsid w:val="30862F5F"/>
    <w:rsid w:val="30B04157"/>
    <w:rsid w:val="314029C9"/>
    <w:rsid w:val="31751578"/>
    <w:rsid w:val="31C63837"/>
    <w:rsid w:val="31C82E39"/>
    <w:rsid w:val="32601BAD"/>
    <w:rsid w:val="329F6389"/>
    <w:rsid w:val="335238B1"/>
    <w:rsid w:val="335A2AA0"/>
    <w:rsid w:val="3389023A"/>
    <w:rsid w:val="33CB74FA"/>
    <w:rsid w:val="343642F2"/>
    <w:rsid w:val="343F3010"/>
    <w:rsid w:val="345D0A00"/>
    <w:rsid w:val="34713BFD"/>
    <w:rsid w:val="34C13589"/>
    <w:rsid w:val="353369E3"/>
    <w:rsid w:val="35A3428A"/>
    <w:rsid w:val="35E00D72"/>
    <w:rsid w:val="368F5A55"/>
    <w:rsid w:val="36965B9D"/>
    <w:rsid w:val="36C549FD"/>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BCF0B46"/>
    <w:rsid w:val="3C242659"/>
    <w:rsid w:val="3C5C5193"/>
    <w:rsid w:val="3C96719C"/>
    <w:rsid w:val="3CA72BE8"/>
    <w:rsid w:val="3CF37F8C"/>
    <w:rsid w:val="3D137554"/>
    <w:rsid w:val="3D221D31"/>
    <w:rsid w:val="3D5275AC"/>
    <w:rsid w:val="3D842BF3"/>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0662CD"/>
    <w:rsid w:val="42171FB1"/>
    <w:rsid w:val="434E6957"/>
    <w:rsid w:val="43BA0E31"/>
    <w:rsid w:val="43C15147"/>
    <w:rsid w:val="43E14DD2"/>
    <w:rsid w:val="43F6411F"/>
    <w:rsid w:val="43F800E9"/>
    <w:rsid w:val="443A7E4B"/>
    <w:rsid w:val="452F5B3A"/>
    <w:rsid w:val="454E7FD2"/>
    <w:rsid w:val="4588349D"/>
    <w:rsid w:val="46061BDC"/>
    <w:rsid w:val="461404F8"/>
    <w:rsid w:val="46230DFA"/>
    <w:rsid w:val="4631143E"/>
    <w:rsid w:val="46413018"/>
    <w:rsid w:val="464B7E04"/>
    <w:rsid w:val="468041AA"/>
    <w:rsid w:val="468123C6"/>
    <w:rsid w:val="46901EEE"/>
    <w:rsid w:val="469C74D2"/>
    <w:rsid w:val="47445515"/>
    <w:rsid w:val="474B4782"/>
    <w:rsid w:val="47D90D14"/>
    <w:rsid w:val="480A5B94"/>
    <w:rsid w:val="48387FB0"/>
    <w:rsid w:val="483A6114"/>
    <w:rsid w:val="488727DB"/>
    <w:rsid w:val="48B82268"/>
    <w:rsid w:val="48C354B3"/>
    <w:rsid w:val="493D58B5"/>
    <w:rsid w:val="494A7A04"/>
    <w:rsid w:val="4A0A26D2"/>
    <w:rsid w:val="4A2019A5"/>
    <w:rsid w:val="4A241A0B"/>
    <w:rsid w:val="4A7B2875"/>
    <w:rsid w:val="4A934476"/>
    <w:rsid w:val="4AA448D5"/>
    <w:rsid w:val="4AAA220A"/>
    <w:rsid w:val="4AE12E67"/>
    <w:rsid w:val="4B4C0111"/>
    <w:rsid w:val="4B8553A9"/>
    <w:rsid w:val="4BC6087B"/>
    <w:rsid w:val="4BDB3730"/>
    <w:rsid w:val="4C200F7A"/>
    <w:rsid w:val="4CEE3180"/>
    <w:rsid w:val="4D0F4AF6"/>
    <w:rsid w:val="4DF94F37"/>
    <w:rsid w:val="4E0A1DD5"/>
    <w:rsid w:val="4E3160E5"/>
    <w:rsid w:val="4E4D37AF"/>
    <w:rsid w:val="4E8C6496"/>
    <w:rsid w:val="4EFD18DE"/>
    <w:rsid w:val="4F144236"/>
    <w:rsid w:val="4F4C553B"/>
    <w:rsid w:val="4F663C87"/>
    <w:rsid w:val="4F7E29A8"/>
    <w:rsid w:val="4F9E1FFC"/>
    <w:rsid w:val="50447CC2"/>
    <w:rsid w:val="50874A7C"/>
    <w:rsid w:val="50895EE7"/>
    <w:rsid w:val="50921B9D"/>
    <w:rsid w:val="50D16158"/>
    <w:rsid w:val="50DB5F45"/>
    <w:rsid w:val="51025EB1"/>
    <w:rsid w:val="51141503"/>
    <w:rsid w:val="518D0ED5"/>
    <w:rsid w:val="51B353FD"/>
    <w:rsid w:val="51CC3074"/>
    <w:rsid w:val="525C687F"/>
    <w:rsid w:val="52C700B1"/>
    <w:rsid w:val="52F647F7"/>
    <w:rsid w:val="52F92565"/>
    <w:rsid w:val="530B42C2"/>
    <w:rsid w:val="53D03877"/>
    <w:rsid w:val="542F73CA"/>
    <w:rsid w:val="5430786D"/>
    <w:rsid w:val="545A1D2A"/>
    <w:rsid w:val="54C811C0"/>
    <w:rsid w:val="556A442D"/>
    <w:rsid w:val="5583476B"/>
    <w:rsid w:val="55DA564E"/>
    <w:rsid w:val="5604127D"/>
    <w:rsid w:val="56166703"/>
    <w:rsid w:val="56510474"/>
    <w:rsid w:val="56861525"/>
    <w:rsid w:val="56A93273"/>
    <w:rsid w:val="56BD550C"/>
    <w:rsid w:val="56E07045"/>
    <w:rsid w:val="56FF28AF"/>
    <w:rsid w:val="57540E7D"/>
    <w:rsid w:val="577B4878"/>
    <w:rsid w:val="57926973"/>
    <w:rsid w:val="58175352"/>
    <w:rsid w:val="581F2200"/>
    <w:rsid w:val="583059FA"/>
    <w:rsid w:val="584A0929"/>
    <w:rsid w:val="589D5603"/>
    <w:rsid w:val="58CD2491"/>
    <w:rsid w:val="591B41B2"/>
    <w:rsid w:val="59254A26"/>
    <w:rsid w:val="59326325"/>
    <w:rsid w:val="595C505B"/>
    <w:rsid w:val="595E55C3"/>
    <w:rsid w:val="596E7E20"/>
    <w:rsid w:val="59B77A55"/>
    <w:rsid w:val="59F1740B"/>
    <w:rsid w:val="5A60780B"/>
    <w:rsid w:val="5AB34579"/>
    <w:rsid w:val="5AFC6609"/>
    <w:rsid w:val="5B113480"/>
    <w:rsid w:val="5BD456CE"/>
    <w:rsid w:val="5BE014E5"/>
    <w:rsid w:val="5C0D1F49"/>
    <w:rsid w:val="5C9127DF"/>
    <w:rsid w:val="5CBB0CE2"/>
    <w:rsid w:val="5CC17177"/>
    <w:rsid w:val="5CF306BC"/>
    <w:rsid w:val="5D3F3D64"/>
    <w:rsid w:val="5D833043"/>
    <w:rsid w:val="5DA327CA"/>
    <w:rsid w:val="5DD92690"/>
    <w:rsid w:val="5DDB1CFD"/>
    <w:rsid w:val="5E7E6D93"/>
    <w:rsid w:val="5ED44800"/>
    <w:rsid w:val="5F1514A5"/>
    <w:rsid w:val="5F350BDE"/>
    <w:rsid w:val="5F61632C"/>
    <w:rsid w:val="5FA17648"/>
    <w:rsid w:val="5FC15189"/>
    <w:rsid w:val="5FE705CB"/>
    <w:rsid w:val="603D5080"/>
    <w:rsid w:val="60D0261B"/>
    <w:rsid w:val="618E3791"/>
    <w:rsid w:val="61947DCA"/>
    <w:rsid w:val="61A46A97"/>
    <w:rsid w:val="61D1382F"/>
    <w:rsid w:val="61F114A2"/>
    <w:rsid w:val="621842B5"/>
    <w:rsid w:val="62512BB4"/>
    <w:rsid w:val="625D7D1A"/>
    <w:rsid w:val="62DD7D21"/>
    <w:rsid w:val="62E80C7F"/>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805D9E"/>
    <w:rsid w:val="669B4528"/>
    <w:rsid w:val="66CC12D7"/>
    <w:rsid w:val="67134CEF"/>
    <w:rsid w:val="671F1ABD"/>
    <w:rsid w:val="67521A59"/>
    <w:rsid w:val="67C304AB"/>
    <w:rsid w:val="68232250"/>
    <w:rsid w:val="683F0658"/>
    <w:rsid w:val="68582403"/>
    <w:rsid w:val="688B4586"/>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9C74ED"/>
    <w:rsid w:val="6EF72976"/>
    <w:rsid w:val="6F387877"/>
    <w:rsid w:val="6F795A80"/>
    <w:rsid w:val="6F7C1D2E"/>
    <w:rsid w:val="6F8E0407"/>
    <w:rsid w:val="6FDD069F"/>
    <w:rsid w:val="702B4D16"/>
    <w:rsid w:val="70AA6621"/>
    <w:rsid w:val="7111480F"/>
    <w:rsid w:val="71261F49"/>
    <w:rsid w:val="712E6956"/>
    <w:rsid w:val="71473612"/>
    <w:rsid w:val="71504F32"/>
    <w:rsid w:val="7152309F"/>
    <w:rsid w:val="718F7F65"/>
    <w:rsid w:val="726E11A1"/>
    <w:rsid w:val="727B234E"/>
    <w:rsid w:val="72D068C7"/>
    <w:rsid w:val="72E42ED8"/>
    <w:rsid w:val="735F4CB9"/>
    <w:rsid w:val="73674C62"/>
    <w:rsid w:val="73845865"/>
    <w:rsid w:val="739B6D9E"/>
    <w:rsid w:val="73BC1D76"/>
    <w:rsid w:val="73FB6630"/>
    <w:rsid w:val="745A5E80"/>
    <w:rsid w:val="748D790E"/>
    <w:rsid w:val="749820CC"/>
    <w:rsid w:val="74AC7D5E"/>
    <w:rsid w:val="74CE04EC"/>
    <w:rsid w:val="74E76DCD"/>
    <w:rsid w:val="751D7C0A"/>
    <w:rsid w:val="75722D56"/>
    <w:rsid w:val="75752846"/>
    <w:rsid w:val="75DB5477"/>
    <w:rsid w:val="75EA3234"/>
    <w:rsid w:val="75FC6AC3"/>
    <w:rsid w:val="7616619B"/>
    <w:rsid w:val="761C3F4E"/>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1548B5"/>
    <w:rsid w:val="7DF84014"/>
    <w:rsid w:val="7E207949"/>
    <w:rsid w:val="7E5C0A47"/>
    <w:rsid w:val="7E670C75"/>
    <w:rsid w:val="7EE24272"/>
    <w:rsid w:val="7EEA6053"/>
    <w:rsid w:val="7F487C04"/>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paragraph" w:customStyle="1" w:styleId="15">
    <w:name w:val="无间隔1"/>
    <w:qFormat/>
    <w:uiPriority w:val="0"/>
    <w:pPr>
      <w:widowControl w:val="0"/>
      <w:spacing w:line="660" w:lineRule="exact"/>
      <w:ind w:firstLine="200" w:firstLineChars="200"/>
    </w:pPr>
    <w:rPr>
      <w:rFonts w:ascii="仿宋_GB2312" w:hAnsi="Times New Roman" w:eastAsia="宋体" w:cs="Times New Roman"/>
      <w:kern w:val="10"/>
      <w:sz w:val="28"/>
      <w:szCs w:val="28"/>
      <w:lang w:val="en-US" w:eastAsia="zh-CN"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7034</Words>
  <Characters>7899</Characters>
  <Lines>53</Lines>
  <Paragraphs>15</Paragraphs>
  <TotalTime>2</TotalTime>
  <ScaleCrop>false</ScaleCrop>
  <LinksUpToDate>false</LinksUpToDate>
  <CharactersWithSpaces>7913</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2024-10-14T09:03:00Z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D624B15633CD43C8BF9435464A96BF70</vt:lpwstr>
  </property>
</Properties>
</file>