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附件</w:t>
      </w:r>
      <w:r>
        <w:rPr>
          <w:rFonts w:hint="eastAsia" w:ascii="黑体" w:hAnsi="黑体" w:eastAsia="黑体" w:cs="黑体"/>
          <w:b w:val="0"/>
          <w:bCs w:val="0"/>
          <w:sz w:val="28"/>
          <w:szCs w:val="28"/>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202</w:t>
      </w:r>
      <w:r>
        <w:rPr>
          <w:rFonts w:hint="eastAsia" w:ascii="方正小标宋_GBK" w:hAnsi="方正小标宋_GBK" w:eastAsia="方正小标宋_GBK" w:cs="方正小标宋_GBK"/>
          <w:b w:val="0"/>
          <w:bCs w:val="0"/>
          <w:sz w:val="44"/>
          <w:szCs w:val="44"/>
          <w:highlight w:val="none"/>
          <w:lang w:val="en-US" w:eastAsia="zh-CN"/>
        </w:rPr>
        <w:t>5</w:t>
      </w:r>
      <w:r>
        <w:rPr>
          <w:rFonts w:hint="eastAsia" w:ascii="方正小标宋_GBK" w:hAnsi="方正小标宋_GBK" w:eastAsia="方正小标宋_GBK" w:cs="方正小标宋_GBK"/>
          <w:b w:val="0"/>
          <w:bCs w:val="0"/>
          <w:sz w:val="44"/>
          <w:szCs w:val="44"/>
          <w:highlight w:val="none"/>
        </w:rPr>
        <w:t>年度新疆维吾尔自治区中央引导地方科技发展资金绩效自评报告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一、绩效目标分解下达情况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highlight w:val="none"/>
        </w:rPr>
      </w:pPr>
      <w:r>
        <w:rPr>
          <w:rFonts w:hint="eastAsia" w:ascii="方正楷体_GBK" w:hAnsi="方正楷体_GBK" w:eastAsia="方正楷体_GBK" w:cs="方正楷体_GBK"/>
          <w:b w:val="0"/>
          <w:bCs w:val="0"/>
          <w:sz w:val="32"/>
          <w:szCs w:val="32"/>
          <w:highlight w:val="none"/>
          <w:lang w:eastAsia="zh-CN"/>
        </w:rPr>
        <w:t>（一）中央下达本省中央引导地方科技发展资金</w:t>
      </w:r>
      <w:r>
        <w:rPr>
          <w:rFonts w:hint="eastAsia" w:ascii="方正楷体_GBK" w:hAnsi="方正楷体_GBK" w:eastAsia="方正楷体_GBK" w:cs="方正楷体_GBK"/>
          <w:b w:val="0"/>
          <w:bCs w:val="0"/>
          <w:sz w:val="32"/>
          <w:szCs w:val="32"/>
          <w:highlight w:val="none"/>
        </w:rPr>
        <w:t>预算情况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根据《财政部关于提前下达2025年中央引导地方科技发展资金预算的通知》（财教</w:t>
      </w:r>
      <w:r>
        <w:rPr>
          <w:rFonts w:hint="eastAsia" w:ascii="方正仿宋_GBK" w:hAnsi="方正仿宋_GBK" w:eastAsia="方正仿宋_GBK" w:cs="方正仿宋_GBK"/>
          <w:b w:val="0"/>
          <w:bCs w:val="0"/>
          <w:sz w:val="32"/>
          <w:szCs w:val="32"/>
          <w:highlight w:val="none"/>
          <w:lang w:eastAsia="zh-CN"/>
        </w:rPr>
        <w:t>〔20</w:t>
      </w:r>
      <w:r>
        <w:rPr>
          <w:rFonts w:hint="eastAsia" w:ascii="方正仿宋_GBK" w:hAnsi="方正仿宋_GBK" w:eastAsia="方正仿宋_GBK" w:cs="方正仿宋_GBK"/>
          <w:b w:val="0"/>
          <w:bCs w:val="0"/>
          <w:sz w:val="32"/>
          <w:szCs w:val="32"/>
          <w:highlight w:val="none"/>
          <w:lang w:val="en-US" w:eastAsia="zh-CN"/>
        </w:rPr>
        <w:t>24</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232号）和《财政部关于下达2025年中央引导地方科技发展资金预算的通知》（财教财教</w:t>
      </w:r>
      <w:r>
        <w:rPr>
          <w:rFonts w:hint="eastAsia" w:ascii="方正仿宋_GBK" w:hAnsi="方正仿宋_GBK" w:eastAsia="方正仿宋_GBK" w:cs="方正仿宋_GBK"/>
          <w:b w:val="0"/>
          <w:bCs w:val="0"/>
          <w:sz w:val="32"/>
          <w:szCs w:val="32"/>
          <w:highlight w:val="none"/>
          <w:lang w:eastAsia="zh-CN"/>
        </w:rPr>
        <w:t>〔20</w:t>
      </w:r>
      <w:r>
        <w:rPr>
          <w:rFonts w:hint="eastAsia" w:ascii="方正仿宋_GBK" w:hAnsi="方正仿宋_GBK" w:eastAsia="方正仿宋_GBK" w:cs="方正仿宋_GBK"/>
          <w:b w:val="0"/>
          <w:bCs w:val="0"/>
          <w:sz w:val="32"/>
          <w:szCs w:val="32"/>
          <w:highlight w:val="none"/>
          <w:lang w:val="en-US" w:eastAsia="zh-CN"/>
        </w:rPr>
        <w:t>25</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lang w:val="en-US" w:eastAsia="zh-CN"/>
        </w:rPr>
        <w:t>92号），2025年度累计</w:t>
      </w:r>
      <w:r>
        <w:rPr>
          <w:rFonts w:hint="eastAsia" w:ascii="方正仿宋_GBK" w:hAnsi="方正仿宋_GBK" w:eastAsia="方正仿宋_GBK" w:cs="方正仿宋_GBK"/>
          <w:b w:val="0"/>
          <w:bCs w:val="0"/>
          <w:sz w:val="32"/>
          <w:szCs w:val="32"/>
          <w:highlight w:val="none"/>
          <w:lang w:eastAsia="zh-CN"/>
        </w:rPr>
        <w:t>下达的中央引导地方科技发展资金（以下简称引导资金）</w:t>
      </w:r>
      <w:r>
        <w:rPr>
          <w:rFonts w:hint="eastAsia" w:ascii="方正仿宋_GBK" w:hAnsi="方正仿宋_GBK" w:eastAsia="方正仿宋_GBK" w:cs="方正仿宋_GBK"/>
          <w:b w:val="0"/>
          <w:bCs w:val="0"/>
          <w:sz w:val="32"/>
          <w:szCs w:val="32"/>
          <w:highlight w:val="none"/>
          <w:lang w:val="en-US" w:eastAsia="zh-CN"/>
        </w:rPr>
        <w:t>10930</w:t>
      </w:r>
      <w:r>
        <w:rPr>
          <w:rFonts w:hint="eastAsia" w:ascii="方正仿宋_GBK" w:hAnsi="方正仿宋_GBK" w:eastAsia="方正仿宋_GBK" w:cs="方正仿宋_GBK"/>
          <w:b w:val="0"/>
          <w:bCs w:val="0"/>
          <w:sz w:val="32"/>
          <w:szCs w:val="32"/>
          <w:highlight w:val="none"/>
          <w:lang w:eastAsia="zh-CN"/>
        </w:rPr>
        <w:t>万元，支持项目</w:t>
      </w:r>
      <w:r>
        <w:rPr>
          <w:rFonts w:hint="eastAsia" w:ascii="方正仿宋_GBK" w:hAnsi="方正仿宋_GBK" w:eastAsia="方正仿宋_GBK" w:cs="方正仿宋_GBK"/>
          <w:b w:val="0"/>
          <w:bCs w:val="0"/>
          <w:sz w:val="32"/>
          <w:szCs w:val="32"/>
          <w:highlight w:val="none"/>
          <w:lang w:val="en-US" w:eastAsia="zh-CN"/>
        </w:rPr>
        <w:t>137</w:t>
      </w:r>
      <w:r>
        <w:rPr>
          <w:rFonts w:hint="eastAsia" w:ascii="方正仿宋_GBK" w:hAnsi="方正仿宋_GBK" w:eastAsia="方正仿宋_GBK" w:cs="方正仿宋_GBK"/>
          <w:b w:val="0"/>
          <w:bCs w:val="0"/>
          <w:sz w:val="32"/>
          <w:szCs w:val="32"/>
          <w:highlight w:val="none"/>
          <w:lang w:eastAsia="zh-CN"/>
        </w:rPr>
        <w:t>个，其中，新上项目</w:t>
      </w:r>
      <w:r>
        <w:rPr>
          <w:rFonts w:hint="eastAsia" w:ascii="方正仿宋_GBK" w:hAnsi="方正仿宋_GBK" w:eastAsia="方正仿宋_GBK" w:cs="方正仿宋_GBK"/>
          <w:b w:val="0"/>
          <w:bCs w:val="0"/>
          <w:sz w:val="32"/>
          <w:szCs w:val="32"/>
          <w:highlight w:val="none"/>
          <w:lang w:val="en-US" w:eastAsia="zh-CN"/>
        </w:rPr>
        <w:t>92个</w:t>
      </w:r>
      <w:r>
        <w:rPr>
          <w:rFonts w:hint="eastAsia" w:ascii="方正仿宋_GBK" w:hAnsi="方正仿宋_GBK" w:eastAsia="方正仿宋_GBK" w:cs="方正仿宋_GBK"/>
          <w:b w:val="0"/>
          <w:bCs w:val="0"/>
          <w:sz w:val="32"/>
          <w:szCs w:val="32"/>
          <w:highlight w:val="none"/>
          <w:lang w:eastAsia="zh-CN"/>
        </w:rPr>
        <w:t>，结转项目</w:t>
      </w:r>
      <w:r>
        <w:rPr>
          <w:rFonts w:hint="eastAsia" w:ascii="方正仿宋_GBK" w:hAnsi="方正仿宋_GBK" w:eastAsia="方正仿宋_GBK" w:cs="方正仿宋_GBK"/>
          <w:b w:val="0"/>
          <w:bCs w:val="0"/>
          <w:sz w:val="32"/>
          <w:szCs w:val="32"/>
          <w:highlight w:val="none"/>
          <w:lang w:val="en-US" w:eastAsia="zh-CN"/>
        </w:rPr>
        <w:t>45个</w:t>
      </w:r>
      <w:r>
        <w:rPr>
          <w:rFonts w:hint="eastAsia" w:ascii="方正仿宋_GBK" w:hAnsi="方正仿宋_GBK" w:eastAsia="方正仿宋_GBK" w:cs="方正仿宋_GBK"/>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eastAsia="zh-CN"/>
        </w:rPr>
        <w:t>新疆紧跟中央科技发展规划部署，围绕落实国家创新驱动发展战略和科技改革发展政策、优化区域科技创新环境、提升区域科技创新能力的主要目标和方向，结合引导资金支持范围，高度重视，精心组织，共计安排科技计划项目</w:t>
      </w:r>
      <w:r>
        <w:rPr>
          <w:rFonts w:hint="eastAsia" w:ascii="方正仿宋_GBK" w:hAnsi="方正仿宋_GBK" w:eastAsia="方正仿宋_GBK" w:cs="方正仿宋_GBK"/>
          <w:b w:val="0"/>
          <w:bCs w:val="0"/>
          <w:sz w:val="32"/>
          <w:szCs w:val="32"/>
          <w:highlight w:val="none"/>
          <w:lang w:val="en-US" w:eastAsia="zh-CN"/>
        </w:rPr>
        <w:t>137</w:t>
      </w:r>
      <w:r>
        <w:rPr>
          <w:rFonts w:hint="eastAsia" w:ascii="方正仿宋_GBK" w:hAnsi="方正仿宋_GBK" w:eastAsia="方正仿宋_GBK" w:cs="方正仿宋_GBK"/>
          <w:b w:val="0"/>
          <w:bCs w:val="0"/>
          <w:sz w:val="32"/>
          <w:szCs w:val="32"/>
          <w:highlight w:val="none"/>
          <w:lang w:eastAsia="zh-CN"/>
        </w:rPr>
        <w:t>个，并向科技部、财政部报送了《中央引导地方科技发展资金区域绩效目标表（202</w:t>
      </w:r>
      <w:r>
        <w:rPr>
          <w:rFonts w:hint="eastAsia" w:ascii="方正仿宋_GBK" w:hAnsi="方正仿宋_GBK" w:eastAsia="方正仿宋_GBK" w:cs="方正仿宋_GBK"/>
          <w:b w:val="0"/>
          <w:bCs w:val="0"/>
          <w:sz w:val="32"/>
          <w:szCs w:val="32"/>
          <w:highlight w:val="none"/>
          <w:lang w:val="en-US" w:eastAsia="zh-CN"/>
        </w:rPr>
        <w:t>5</w:t>
      </w:r>
      <w:r>
        <w:rPr>
          <w:rFonts w:hint="eastAsia" w:ascii="方正仿宋_GBK" w:hAnsi="方正仿宋_GBK" w:eastAsia="方正仿宋_GBK" w:cs="方正仿宋_GBK"/>
          <w:b w:val="0"/>
          <w:bCs w:val="0"/>
          <w:sz w:val="32"/>
          <w:szCs w:val="32"/>
          <w:highlight w:val="none"/>
          <w:lang w:eastAsia="zh-CN"/>
        </w:rPr>
        <w:t>年度）》，具体如下：</w:t>
      </w:r>
    </w:p>
    <w:tbl>
      <w:tblPr>
        <w:tblStyle w:val="9"/>
        <w:tblW w:w="88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1092"/>
        <w:gridCol w:w="1080"/>
        <w:gridCol w:w="2372"/>
        <w:gridCol w:w="2092"/>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85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中央引导地方科技发展资金区域绩效目标表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5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中央引导地方科技发展资金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6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财政部、科技部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省级财政部门</w:t>
            </w:r>
          </w:p>
        </w:tc>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新疆维吾尔自治区财政厅</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省级主管部门</w:t>
            </w:r>
          </w:p>
        </w:tc>
        <w:tc>
          <w:tcPr>
            <w:tcW w:w="14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新疆维吾尔自治区财政厅、科技厅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年度金额：</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其中：中央补助</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0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度引导资金，聚焦自治区“九大产业集群”和重大战略任务，支持区域科技创新体系建设、科技创新基地建设、科技成果转移转化、自由探索类基础研究等四个方面项目，推动面向中亚的区域科技创新中心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支持自由探索类基础研究项目数量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支持建设科技创新基地项目数量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18</w:t>
            </w: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转化科技成果数量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cs="宋体"/>
                <w:i w:val="0"/>
                <w:iCs w:val="0"/>
                <w:color w:val="000000"/>
                <w:kern w:val="0"/>
                <w:sz w:val="20"/>
                <w:szCs w:val="20"/>
                <w:u w:val="none"/>
                <w:lang w:val="en-US" w:eastAsia="zh-CN" w:bidi="ar"/>
              </w:rPr>
              <w:t>65</w:t>
            </w: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支持东西部科技合作及区域协同创新项目数量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41</w:t>
            </w: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带动社会投入与引导资金投入比例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支持高新技术企业数量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42</w:t>
            </w:r>
            <w:r>
              <w:rPr>
                <w:rFonts w:hint="eastAsia" w:ascii="宋体" w:hAnsi="宋体" w:eastAsia="宋体" w:cs="宋体"/>
                <w:i w:val="0"/>
                <w:iCs w:val="0"/>
                <w:color w:val="000000"/>
                <w:kern w:val="0"/>
                <w:sz w:val="20"/>
                <w:szCs w:val="20"/>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支持科技型中小企业数量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28</w:t>
            </w:r>
            <w:r>
              <w:rPr>
                <w:rFonts w:hint="eastAsia" w:ascii="宋体" w:hAnsi="宋体" w:eastAsia="宋体" w:cs="宋体"/>
                <w:i w:val="0"/>
                <w:iCs w:val="0"/>
                <w:color w:val="000000"/>
                <w:kern w:val="0"/>
                <w:sz w:val="20"/>
                <w:szCs w:val="20"/>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促进技术合同成交额</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8166万</w:t>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带动地方投入东西科技合作及区域协同创新资金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5633</w:t>
            </w:r>
            <w:r>
              <w:rPr>
                <w:rFonts w:hint="eastAsia" w:ascii="宋体" w:hAnsi="宋体" w:eastAsia="宋体"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区域科技创新能力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培训技术服务人员数量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6478</w:t>
            </w:r>
            <w:r>
              <w:rPr>
                <w:rFonts w:hint="eastAsia" w:ascii="宋体" w:hAnsi="宋体" w:eastAsia="宋体" w:cs="宋体"/>
                <w:i w:val="0"/>
                <w:iCs w:val="0"/>
                <w:color w:val="000000"/>
                <w:kern w:val="0"/>
                <w:sz w:val="20"/>
                <w:szCs w:val="20"/>
                <w:u w:val="none"/>
                <w:lang w:val="en-US" w:eastAsia="zh-CN" w:bidi="ar"/>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提供技术咨询/技术服务数量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6760</w:t>
            </w:r>
            <w:r>
              <w:rPr>
                <w:rFonts w:hint="eastAsia" w:ascii="宋体" w:hAnsi="宋体" w:eastAsia="宋体" w:cs="宋体"/>
                <w:i w:val="0"/>
                <w:iCs w:val="0"/>
                <w:color w:val="000000"/>
                <w:kern w:val="0"/>
                <w:sz w:val="20"/>
                <w:szCs w:val="20"/>
                <w:u w:val="none"/>
                <w:lang w:val="en-US" w:eastAsia="zh-CN" w:bidi="ar"/>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科技帮扶支撑乡村振兴项目数量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培训技术经纪人数量</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55</w:t>
            </w:r>
            <w:r>
              <w:rPr>
                <w:rFonts w:hint="eastAsia" w:ascii="宋体" w:hAnsi="宋体" w:eastAsia="宋体" w:cs="宋体"/>
                <w:i w:val="0"/>
                <w:iCs w:val="0"/>
                <w:color w:val="000000"/>
                <w:kern w:val="0"/>
                <w:sz w:val="20"/>
                <w:szCs w:val="20"/>
                <w:u w:val="none"/>
                <w:lang w:val="en-US" w:eastAsia="zh-CN" w:bidi="ar"/>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被服务对象满意度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highlight w:val="none"/>
        </w:rPr>
      </w:pPr>
      <w:r>
        <w:rPr>
          <w:rFonts w:hint="eastAsia" w:ascii="方正楷体_GBK" w:hAnsi="方正楷体_GBK" w:eastAsia="方正楷体_GBK" w:cs="方正楷体_GBK"/>
          <w:b w:val="0"/>
          <w:bCs w:val="0"/>
          <w:sz w:val="32"/>
          <w:szCs w:val="32"/>
          <w:highlight w:val="none"/>
          <w:lang w:eastAsia="zh-CN"/>
        </w:rPr>
        <w:t>（二）省内资金安排、分解下达预算和绩效目标情况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eastAsia="zh-CN"/>
        </w:rPr>
        <w:t>202</w:t>
      </w:r>
      <w:r>
        <w:rPr>
          <w:rFonts w:hint="eastAsia" w:ascii="方正仿宋_GBK" w:hAnsi="方正仿宋_GBK" w:eastAsia="方正仿宋_GBK" w:cs="方正仿宋_GBK"/>
          <w:b w:val="0"/>
          <w:bCs w:val="0"/>
          <w:sz w:val="32"/>
          <w:szCs w:val="32"/>
          <w:highlight w:val="none"/>
          <w:lang w:val="en-US" w:eastAsia="zh-CN"/>
        </w:rPr>
        <w:t>5</w:t>
      </w:r>
      <w:r>
        <w:rPr>
          <w:rFonts w:hint="eastAsia" w:ascii="方正仿宋_GBK" w:hAnsi="方正仿宋_GBK" w:eastAsia="方正仿宋_GBK" w:cs="方正仿宋_GBK"/>
          <w:b w:val="0"/>
          <w:bCs w:val="0"/>
          <w:sz w:val="32"/>
          <w:szCs w:val="32"/>
          <w:highlight w:val="none"/>
          <w:lang w:eastAsia="zh-CN"/>
        </w:rPr>
        <w:t>年度引导资金，聚焦生态环境保护、生命健康、现代农业等重点领域，支持区域科技创新体系建设、科技创新基地建设、科技成果转移转化、自由探索类基础研究等四个方面项目，推动面向中亚的区域科技创新中心建设。项目采取</w:t>
      </w:r>
      <w:r>
        <w:rPr>
          <w:rFonts w:hint="eastAsia" w:ascii="方正仿宋_GBK" w:hAnsi="方正仿宋_GBK" w:eastAsia="方正仿宋_GBK" w:cs="方正仿宋_GBK"/>
          <w:b w:val="0"/>
          <w:bCs w:val="0"/>
          <w:sz w:val="32"/>
          <w:szCs w:val="32"/>
          <w:highlight w:val="none"/>
          <w:lang w:val="en-US" w:eastAsia="zh-CN"/>
        </w:rPr>
        <w:t>事前</w:t>
      </w:r>
      <w:r>
        <w:rPr>
          <w:rFonts w:hint="eastAsia" w:ascii="方正仿宋_GBK" w:hAnsi="方正仿宋_GBK" w:eastAsia="方正仿宋_GBK" w:cs="方正仿宋_GBK"/>
          <w:b w:val="0"/>
          <w:bCs w:val="0"/>
          <w:sz w:val="32"/>
          <w:szCs w:val="32"/>
          <w:highlight w:val="none"/>
          <w:lang w:eastAsia="zh-CN"/>
        </w:rPr>
        <w:t>补助和后补助支持方式；对企业承担的项目在绩效评估后，以后补助方式予以支持。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val="en-US" w:eastAsia="zh-CN"/>
        </w:rPr>
        <w:t>根据财政部相关要求，新疆维吾尔自治区财政厅2024年12月9日印发《财政厅关于提前下达2025年中央引导地方科技发展资金的通知》（新财教〔2024〕232号），下达资金7761万元；2025年5月19日印发《财政厅关于下达2025年中央引导地方科技发展资金（第二批）的通知》（新财教〔2025〕65号），下达资金3169万元。累计下达资金10930万元，支持项目137个（新上项目92个</w:t>
      </w:r>
      <w:r>
        <w:rPr>
          <w:rFonts w:hint="eastAsia" w:ascii="方正仿宋_GBK" w:hAnsi="方正仿宋_GBK" w:eastAsia="方正仿宋_GBK" w:cs="方正仿宋_GBK"/>
          <w:b w:val="0"/>
          <w:bCs w:val="0"/>
          <w:sz w:val="32"/>
          <w:szCs w:val="32"/>
          <w:highlight w:val="none"/>
          <w:lang w:eastAsia="zh-CN"/>
        </w:rPr>
        <w:t>，结转项目</w:t>
      </w:r>
      <w:r>
        <w:rPr>
          <w:rFonts w:hint="eastAsia" w:ascii="方正仿宋_GBK" w:hAnsi="方正仿宋_GBK" w:eastAsia="方正仿宋_GBK" w:cs="方正仿宋_GBK"/>
          <w:b w:val="0"/>
          <w:bCs w:val="0"/>
          <w:sz w:val="32"/>
          <w:szCs w:val="32"/>
          <w:highlight w:val="none"/>
          <w:lang w:val="en-US" w:eastAsia="zh-CN"/>
        </w:rPr>
        <w:t>45个），下达</w:t>
      </w:r>
      <w:r>
        <w:rPr>
          <w:rFonts w:hint="eastAsia" w:ascii="方正仿宋_GBK" w:hAnsi="方正仿宋_GBK" w:eastAsia="方正仿宋_GBK" w:cs="方正仿宋_GBK"/>
          <w:b w:val="0"/>
          <w:bCs w:val="0"/>
          <w:sz w:val="32"/>
          <w:szCs w:val="32"/>
          <w:highlight w:val="none"/>
          <w:lang w:eastAsia="zh-CN"/>
        </w:rPr>
        <w:t>《中央引导地方科技发展资金区域绩效目标表（202</w:t>
      </w:r>
      <w:r>
        <w:rPr>
          <w:rFonts w:hint="eastAsia" w:ascii="方正仿宋_GBK" w:hAnsi="方正仿宋_GBK" w:eastAsia="方正仿宋_GBK" w:cs="方正仿宋_GBK"/>
          <w:b w:val="0"/>
          <w:bCs w:val="0"/>
          <w:sz w:val="32"/>
          <w:szCs w:val="32"/>
          <w:highlight w:val="none"/>
          <w:lang w:val="en-US" w:eastAsia="zh-CN"/>
        </w:rPr>
        <w:t>5</w:t>
      </w:r>
      <w:r>
        <w:rPr>
          <w:rFonts w:hint="eastAsia" w:ascii="方正仿宋_GBK" w:hAnsi="方正仿宋_GBK" w:eastAsia="方正仿宋_GBK" w:cs="方正仿宋_GBK"/>
          <w:b w:val="0"/>
          <w:bCs w:val="0"/>
          <w:sz w:val="32"/>
          <w:szCs w:val="32"/>
          <w:highlight w:val="none"/>
          <w:lang w:eastAsia="zh-CN"/>
        </w:rPr>
        <w:t>年度）》，具体如下：</w:t>
      </w:r>
    </w:p>
    <w:tbl>
      <w:tblPr>
        <w:tblStyle w:val="9"/>
        <w:tblW w:w="88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1092"/>
        <w:gridCol w:w="1080"/>
        <w:gridCol w:w="2372"/>
        <w:gridCol w:w="2092"/>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85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中央引导地方科技发展资金区域绩效目标表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85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中央引导地方科技发展资金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69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财政部、科技部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省级财政部门</w:t>
            </w:r>
          </w:p>
        </w:tc>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新疆维吾尔自治区财政厅</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省级主管部门</w:t>
            </w:r>
          </w:p>
        </w:tc>
        <w:tc>
          <w:tcPr>
            <w:tcW w:w="14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新疆维吾尔自治区财政厅、新疆维吾尔自治区</w:t>
            </w:r>
            <w:r>
              <w:rPr>
                <w:rFonts w:hint="eastAsia" w:ascii="宋体" w:hAnsi="宋体" w:cs="宋体"/>
                <w:i w:val="0"/>
                <w:iCs w:val="0"/>
                <w:color w:val="000000"/>
                <w:kern w:val="0"/>
                <w:sz w:val="20"/>
                <w:szCs w:val="20"/>
                <w:u w:val="none"/>
                <w:lang w:val="en-US" w:eastAsia="zh-CN" w:bidi="ar"/>
              </w:rPr>
              <w:t>科学技术</w:t>
            </w:r>
            <w:r>
              <w:rPr>
                <w:rFonts w:hint="eastAsia" w:ascii="宋体" w:hAnsi="宋体" w:eastAsia="宋体" w:cs="宋体"/>
                <w:i w:val="0"/>
                <w:iCs w:val="0"/>
                <w:color w:val="000000"/>
                <w:kern w:val="0"/>
                <w:sz w:val="20"/>
                <w:szCs w:val="20"/>
                <w:u w:val="none"/>
                <w:lang w:val="en-US" w:eastAsia="zh-CN" w:bidi="ar"/>
              </w:rPr>
              <w:t>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年度金额：</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其中：中央补助</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地方资金</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80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度引导资金，聚焦自治区“九大产业集群”和重大战略任务，支持区域科技创新体系建设、科技创新基地建设、科技成果转移转化、自由探索类基础研究等四个方面项目，推动面向中亚的区域科技创新中心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支持自由探索类基础研究项目数量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32</w:t>
            </w: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支持建设科技创新基地项目数量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18</w:t>
            </w: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转化科技成果数量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cs="宋体"/>
                <w:i w:val="0"/>
                <w:iCs w:val="0"/>
                <w:color w:val="000000"/>
                <w:kern w:val="0"/>
                <w:sz w:val="20"/>
                <w:szCs w:val="20"/>
                <w:u w:val="none"/>
                <w:lang w:val="en-US" w:eastAsia="zh-CN" w:bidi="ar"/>
              </w:rPr>
              <w:t>65</w:t>
            </w: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支持东西部科技合作及区域协同创新项目数量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41</w:t>
            </w:r>
            <w:r>
              <w:rPr>
                <w:rFonts w:hint="eastAsia" w:ascii="宋体" w:hAnsi="宋体" w:eastAsia="宋体" w:cs="宋体"/>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带动社会投入与引导资金投入比例</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支持高新技术企业数量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42</w:t>
            </w:r>
            <w:r>
              <w:rPr>
                <w:rFonts w:hint="eastAsia" w:ascii="宋体" w:hAnsi="宋体" w:eastAsia="宋体" w:cs="宋体"/>
                <w:i w:val="0"/>
                <w:iCs w:val="0"/>
                <w:color w:val="000000"/>
                <w:kern w:val="0"/>
                <w:sz w:val="20"/>
                <w:szCs w:val="20"/>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支持科技型中小企业数量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28</w:t>
            </w:r>
            <w:r>
              <w:rPr>
                <w:rFonts w:hint="eastAsia" w:ascii="宋体" w:hAnsi="宋体" w:eastAsia="宋体" w:cs="宋体"/>
                <w:i w:val="0"/>
                <w:iCs w:val="0"/>
                <w:color w:val="000000"/>
                <w:kern w:val="0"/>
                <w:sz w:val="20"/>
                <w:szCs w:val="20"/>
                <w:u w:val="none"/>
                <w:lang w:val="en-US" w:eastAsia="zh-CN" w:bidi="ar"/>
              </w:rPr>
              <w:t>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促进技术合同成交额</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r>
              <w:rPr>
                <w:rFonts w:hint="eastAsia" w:ascii="宋体" w:hAnsi="宋体" w:cs="宋体"/>
                <w:i w:val="0"/>
                <w:iCs w:val="0"/>
                <w:color w:val="000000"/>
                <w:kern w:val="0"/>
                <w:sz w:val="20"/>
                <w:szCs w:val="20"/>
                <w:u w:val="none"/>
                <w:lang w:val="en-US" w:eastAsia="zh-CN" w:bidi="ar"/>
              </w:rPr>
              <w:t>8166万</w:t>
            </w: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带动地方投入东西科技合作及区域协同创新资金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5633</w:t>
            </w:r>
            <w:r>
              <w:rPr>
                <w:rFonts w:hint="eastAsia" w:ascii="宋体" w:hAnsi="宋体" w:eastAsia="宋体"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区域科技创新能力</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培训技术服务人员数量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6478</w:t>
            </w:r>
            <w:r>
              <w:rPr>
                <w:rFonts w:hint="eastAsia" w:ascii="宋体" w:hAnsi="宋体" w:eastAsia="宋体" w:cs="宋体"/>
                <w:i w:val="0"/>
                <w:iCs w:val="0"/>
                <w:color w:val="000000"/>
                <w:kern w:val="0"/>
                <w:sz w:val="20"/>
                <w:szCs w:val="20"/>
                <w:u w:val="none"/>
                <w:lang w:val="en-US" w:eastAsia="zh-CN" w:bidi="ar"/>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提供技术咨询/技术服务数量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6760</w:t>
            </w:r>
            <w:r>
              <w:rPr>
                <w:rFonts w:hint="eastAsia" w:ascii="宋体" w:hAnsi="宋体" w:eastAsia="宋体" w:cs="宋体"/>
                <w:i w:val="0"/>
                <w:iCs w:val="0"/>
                <w:color w:val="000000"/>
                <w:kern w:val="0"/>
                <w:sz w:val="20"/>
                <w:szCs w:val="20"/>
                <w:u w:val="none"/>
                <w:lang w:val="en-US" w:eastAsia="zh-CN" w:bidi="ar"/>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科技帮扶支撑乡村振兴项目数量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11</w:t>
            </w: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exac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培训技术经纪人数量</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55</w:t>
            </w:r>
            <w:r>
              <w:rPr>
                <w:rFonts w:hint="eastAsia" w:ascii="宋体" w:hAnsi="宋体" w:eastAsia="宋体" w:cs="宋体"/>
                <w:i w:val="0"/>
                <w:iCs w:val="0"/>
                <w:color w:val="000000"/>
                <w:kern w:val="0"/>
                <w:sz w:val="20"/>
                <w:szCs w:val="20"/>
                <w:u w:val="none"/>
                <w:lang w:val="en-US" w:eastAsia="zh-CN" w:bidi="ar"/>
              </w:rPr>
              <w:t>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4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被服务对象满意度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bl>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9"/>
        <w:rPr>
          <w:rFonts w:hint="eastAsia" w:ascii="方正仿宋_GBK" w:hAnsi="方正仿宋_GBK" w:eastAsia="方正仿宋_GBK" w:cs="方正仿宋_GBK"/>
          <w:b w:val="0"/>
          <w:bCs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val="en-US" w:eastAsia="zh-CN"/>
        </w:rPr>
        <w:t>1.</w:t>
      </w:r>
      <w:r>
        <w:rPr>
          <w:rFonts w:hint="eastAsia" w:ascii="方正仿宋_GBK" w:hAnsi="方正仿宋_GBK" w:eastAsia="方正仿宋_GBK" w:cs="方正仿宋_GBK"/>
          <w:b w:val="0"/>
          <w:bCs w:val="0"/>
          <w:sz w:val="32"/>
          <w:szCs w:val="32"/>
          <w:highlight w:val="none"/>
        </w:rPr>
        <w:t>区域创新体系建设</w:t>
      </w:r>
      <w:r>
        <w:rPr>
          <w:rFonts w:hint="eastAsia" w:ascii="方正仿宋_GBK" w:hAnsi="方正仿宋_GBK" w:eastAsia="方正仿宋_GBK" w:cs="方正仿宋_GBK"/>
          <w:b w:val="0"/>
          <w:bCs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bCs/>
          <w:sz w:val="32"/>
          <w:szCs w:val="32"/>
          <w:highlight w:val="none"/>
          <w:lang w:eastAsia="zh-CN"/>
        </w:rPr>
        <w:t>一是</w:t>
      </w:r>
      <w:r>
        <w:rPr>
          <w:rFonts w:hint="eastAsia" w:ascii="方正仿宋_GBK" w:hAnsi="方正仿宋_GBK" w:eastAsia="方正仿宋_GBK" w:cs="方正仿宋_GBK"/>
          <w:sz w:val="32"/>
          <w:szCs w:val="32"/>
          <w:highlight w:val="none"/>
          <w:lang w:eastAsia="zh-CN"/>
        </w:rPr>
        <w:t>重点</w:t>
      </w:r>
      <w:r>
        <w:rPr>
          <w:rFonts w:hint="eastAsia" w:ascii="方正仿宋_GBK" w:hAnsi="方正仿宋_GBK" w:eastAsia="方正仿宋_GBK" w:cs="方正仿宋_GBK"/>
          <w:sz w:val="32"/>
          <w:szCs w:val="32"/>
          <w:highlight w:val="none"/>
        </w:rPr>
        <w:t>支</w:t>
      </w:r>
      <w:r>
        <w:rPr>
          <w:rFonts w:hint="eastAsia" w:ascii="方正仿宋_GBK" w:hAnsi="方正仿宋_GBK" w:eastAsia="方正仿宋_GBK" w:cs="方正仿宋_GBK"/>
          <w:b w:val="0"/>
          <w:bCs w:val="0"/>
          <w:sz w:val="32"/>
          <w:szCs w:val="32"/>
          <w:highlight w:val="none"/>
          <w:lang w:eastAsia="zh-CN"/>
        </w:rPr>
        <w:t>持</w:t>
      </w:r>
      <w:r>
        <w:rPr>
          <w:rFonts w:hint="eastAsia" w:ascii="方正仿宋_GBK" w:hAnsi="方正仿宋_GBK" w:eastAsia="方正仿宋_GBK" w:cs="方正仿宋_GBK"/>
          <w:b w:val="0"/>
          <w:bCs w:val="0"/>
          <w:sz w:val="32"/>
          <w:szCs w:val="32"/>
          <w:highlight w:val="none"/>
          <w:lang w:val="en-US" w:eastAsia="zh-CN"/>
        </w:rPr>
        <w:t>2023年绩效考核为优秀的</w:t>
      </w:r>
      <w:r>
        <w:rPr>
          <w:rFonts w:hint="eastAsia" w:ascii="方正仿宋_GBK" w:hAnsi="方正仿宋_GBK" w:eastAsia="方正仿宋_GBK" w:cs="方正仿宋_GBK"/>
          <w:b w:val="0"/>
          <w:bCs w:val="0"/>
          <w:sz w:val="32"/>
          <w:szCs w:val="32"/>
          <w:highlight w:val="none"/>
          <w:lang w:eastAsia="zh-CN"/>
        </w:rPr>
        <w:t>高新技术产业开发区、农业科技园区及国家自贸区、国家创新型县市，聚焦主导产业，系统开展科技</w:t>
      </w:r>
      <w:r>
        <w:rPr>
          <w:rFonts w:hint="eastAsia" w:ascii="方正仿宋_GBK" w:hAnsi="方正仿宋_GBK" w:eastAsia="方正仿宋_GBK" w:cs="方正仿宋_GBK"/>
          <w:sz w:val="32"/>
          <w:szCs w:val="32"/>
          <w:highlight w:val="none"/>
          <w:lang w:eastAsia="zh-CN"/>
        </w:rPr>
        <w:t>研发、创新平台建设和科技人才团队培育，推动项目、平台、人才一体化布局</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b/>
          <w:bCs/>
          <w:sz w:val="32"/>
          <w:szCs w:val="32"/>
          <w:highlight w:val="none"/>
          <w:lang w:eastAsia="zh-CN"/>
        </w:rPr>
        <w:t>二是</w:t>
      </w:r>
      <w:r>
        <w:rPr>
          <w:rFonts w:hint="eastAsia" w:ascii="方正仿宋_GBK" w:hAnsi="方正仿宋_GBK" w:eastAsia="方正仿宋_GBK" w:cs="方正仿宋_GBK"/>
          <w:sz w:val="32"/>
          <w:szCs w:val="32"/>
          <w:highlight w:val="none"/>
          <w:lang w:eastAsia="zh-CN"/>
        </w:rPr>
        <w:t>重点</w:t>
      </w:r>
      <w:r>
        <w:rPr>
          <w:rFonts w:hint="eastAsia" w:ascii="方正仿宋_GBK" w:hAnsi="方正仿宋_GBK" w:eastAsia="方正仿宋_GBK" w:cs="方正仿宋_GBK"/>
          <w:sz w:val="32"/>
          <w:szCs w:val="32"/>
          <w:highlight w:val="none"/>
        </w:rPr>
        <w:t>支持</w:t>
      </w:r>
      <w:r>
        <w:rPr>
          <w:rFonts w:hint="eastAsia" w:ascii="方正仿宋_GBK" w:hAnsi="方正仿宋_GBK" w:eastAsia="方正仿宋_GBK" w:cs="方正仿宋_GBK"/>
          <w:sz w:val="32"/>
          <w:szCs w:val="32"/>
          <w:highlight w:val="none"/>
          <w:lang w:eastAsia="zh-CN"/>
        </w:rPr>
        <w:t>自治区各类创新主体开展</w:t>
      </w:r>
      <w:r>
        <w:rPr>
          <w:rFonts w:hint="eastAsia" w:ascii="方正仿宋_GBK" w:hAnsi="方正仿宋_GBK" w:eastAsia="方正仿宋_GBK" w:cs="方正仿宋_GBK"/>
          <w:sz w:val="32"/>
          <w:szCs w:val="32"/>
          <w:highlight w:val="none"/>
        </w:rPr>
        <w:t>东西部科技合作以及同其他省区市开展的跨区域</w:t>
      </w:r>
      <w:r>
        <w:rPr>
          <w:rFonts w:hint="eastAsia" w:ascii="方正仿宋_GBK" w:hAnsi="方正仿宋_GBK" w:eastAsia="方正仿宋_GBK" w:cs="方正仿宋_GBK"/>
          <w:sz w:val="32"/>
          <w:szCs w:val="32"/>
          <w:highlight w:val="none"/>
          <w:lang w:eastAsia="zh-CN"/>
        </w:rPr>
        <w:t>联合研发活动。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本年度支持区域创新体系建设项目</w:t>
      </w:r>
      <w:r>
        <w:rPr>
          <w:rFonts w:hint="eastAsia" w:ascii="方正仿宋_GBK" w:hAnsi="方正仿宋_GBK" w:eastAsia="方正仿宋_GBK" w:cs="方正仿宋_GBK"/>
          <w:sz w:val="32"/>
          <w:szCs w:val="32"/>
          <w:highlight w:val="none"/>
          <w:lang w:val="en-US" w:eastAsia="zh-CN"/>
        </w:rPr>
        <w:t>31</w:t>
      </w:r>
      <w:r>
        <w:rPr>
          <w:rFonts w:hint="eastAsia" w:ascii="方正仿宋_GBK" w:hAnsi="方正仿宋_GBK" w:eastAsia="方正仿宋_GBK" w:cs="方正仿宋_GBK"/>
          <w:sz w:val="32"/>
          <w:szCs w:val="32"/>
          <w:highlight w:val="none"/>
        </w:rPr>
        <w:t>个（新上</w:t>
      </w:r>
      <w:r>
        <w:rPr>
          <w:rFonts w:hint="eastAsia" w:ascii="方正仿宋_GBK" w:hAnsi="方正仿宋_GBK" w:eastAsia="方正仿宋_GBK" w:cs="方正仿宋_GBK"/>
          <w:sz w:val="32"/>
          <w:szCs w:val="32"/>
          <w:highlight w:val="none"/>
          <w:lang w:val="en-US" w:eastAsia="zh-CN"/>
        </w:rPr>
        <w:t>事前补助</w:t>
      </w:r>
      <w:r>
        <w:rPr>
          <w:rFonts w:hint="eastAsia" w:ascii="方正仿宋_GBK" w:hAnsi="方正仿宋_GBK" w:eastAsia="方正仿宋_GBK" w:cs="方正仿宋_GBK"/>
          <w:sz w:val="32"/>
          <w:szCs w:val="32"/>
          <w:highlight w:val="none"/>
        </w:rPr>
        <w:t>项目</w:t>
      </w:r>
      <w:r>
        <w:rPr>
          <w:rFonts w:hint="eastAsia" w:ascii="方正仿宋_GBK" w:hAnsi="方正仿宋_GBK" w:eastAsia="方正仿宋_GBK" w:cs="方正仿宋_GBK"/>
          <w:sz w:val="32"/>
          <w:szCs w:val="32"/>
          <w:highlight w:val="none"/>
          <w:lang w:val="en-US" w:eastAsia="zh-CN"/>
        </w:rPr>
        <w:t>22个</w:t>
      </w:r>
      <w:r>
        <w:rPr>
          <w:rFonts w:hint="eastAsia" w:ascii="方正仿宋_GBK" w:hAnsi="方正仿宋_GBK" w:eastAsia="方正仿宋_GBK" w:cs="方正仿宋_GBK"/>
          <w:sz w:val="32"/>
          <w:szCs w:val="32"/>
          <w:highlight w:val="none"/>
        </w:rPr>
        <w:t>，新上后补助项目</w:t>
      </w:r>
      <w:r>
        <w:rPr>
          <w:rFonts w:hint="eastAsia" w:ascii="方正仿宋_GBK" w:hAnsi="方正仿宋_GBK" w:eastAsia="方正仿宋_GBK" w:cs="方正仿宋_GBK"/>
          <w:sz w:val="32"/>
          <w:szCs w:val="32"/>
          <w:highlight w:val="none"/>
          <w:lang w:val="en-US" w:eastAsia="zh-CN"/>
        </w:rPr>
        <w:t>7</w:t>
      </w:r>
      <w:r>
        <w:rPr>
          <w:rFonts w:hint="eastAsia" w:ascii="方正仿宋_GBK" w:hAnsi="方正仿宋_GBK" w:eastAsia="方正仿宋_GBK" w:cs="方正仿宋_GBK"/>
          <w:sz w:val="32"/>
          <w:szCs w:val="32"/>
          <w:highlight w:val="none"/>
        </w:rPr>
        <w:t>个，结转项目</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个）、经费</w:t>
      </w:r>
      <w:r>
        <w:rPr>
          <w:rFonts w:hint="eastAsia" w:ascii="方正仿宋_GBK" w:hAnsi="方正仿宋_GBK" w:eastAsia="方正仿宋_GBK" w:cs="方正仿宋_GBK"/>
          <w:sz w:val="32"/>
          <w:szCs w:val="32"/>
          <w:highlight w:val="none"/>
          <w:lang w:val="en-US" w:eastAsia="zh-CN"/>
        </w:rPr>
        <w:t>3435</w:t>
      </w:r>
      <w:r>
        <w:rPr>
          <w:rFonts w:hint="eastAsia" w:ascii="方正仿宋_GBK" w:hAnsi="方正仿宋_GBK" w:eastAsia="方正仿宋_GBK" w:cs="方正仿宋_GBK"/>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2.科技创新基地建设。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重点</w:t>
      </w:r>
      <w:r>
        <w:rPr>
          <w:rFonts w:hint="eastAsia" w:ascii="方正仿宋_GBK" w:hAnsi="方正仿宋_GBK" w:eastAsia="方正仿宋_GBK" w:cs="方正仿宋_GBK"/>
          <w:sz w:val="32"/>
          <w:szCs w:val="32"/>
          <w:highlight w:val="none"/>
        </w:rPr>
        <w:t>支持国家、省部共建国家重点实验室，自治区重点实验室、工程技术研究中心、技术创新中心、临床医学研究中心等</w:t>
      </w:r>
      <w:r>
        <w:rPr>
          <w:rFonts w:hint="eastAsia" w:ascii="方正仿宋_GBK" w:hAnsi="方正仿宋_GBK" w:eastAsia="方正仿宋_GBK" w:cs="方正仿宋_GBK"/>
          <w:sz w:val="32"/>
          <w:szCs w:val="32"/>
          <w:highlight w:val="none"/>
          <w:lang w:eastAsia="zh-CN"/>
        </w:rPr>
        <w:t>创建</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eastAsia="zh-CN"/>
        </w:rPr>
        <w:t>平台开展的关键技术研发，提升平台科技创新能力</w:t>
      </w:r>
      <w:r>
        <w:rPr>
          <w:rFonts w:hint="eastAsia" w:ascii="方正仿宋_GBK" w:hAnsi="方正仿宋_GBK" w:eastAsia="方正仿宋_GBK" w:cs="方正仿宋_GBK"/>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本年度支持科技创新基地建设项目</w:t>
      </w:r>
      <w:r>
        <w:rPr>
          <w:rFonts w:hint="eastAsia" w:ascii="方正仿宋_GBK" w:hAnsi="方正仿宋_GBK" w:eastAsia="方正仿宋_GBK" w:cs="方正仿宋_GBK"/>
          <w:sz w:val="32"/>
          <w:szCs w:val="32"/>
          <w:highlight w:val="none"/>
          <w:lang w:val="en-US" w:eastAsia="zh-CN"/>
        </w:rPr>
        <w:t>30</w:t>
      </w:r>
      <w:r>
        <w:rPr>
          <w:rFonts w:hint="eastAsia" w:ascii="方正仿宋_GBK" w:hAnsi="方正仿宋_GBK" w:eastAsia="方正仿宋_GBK" w:cs="方正仿宋_GBK"/>
          <w:sz w:val="32"/>
          <w:szCs w:val="32"/>
          <w:highlight w:val="none"/>
        </w:rPr>
        <w:t>个（新上</w:t>
      </w:r>
      <w:r>
        <w:rPr>
          <w:rFonts w:hint="eastAsia" w:ascii="方正仿宋_GBK" w:hAnsi="方正仿宋_GBK" w:eastAsia="方正仿宋_GBK" w:cs="方正仿宋_GBK"/>
          <w:sz w:val="32"/>
          <w:szCs w:val="32"/>
          <w:highlight w:val="none"/>
          <w:lang w:val="en-US" w:eastAsia="zh-CN"/>
        </w:rPr>
        <w:t>事前补助</w:t>
      </w:r>
      <w:r>
        <w:rPr>
          <w:rFonts w:hint="eastAsia" w:ascii="方正仿宋_GBK" w:hAnsi="方正仿宋_GBK" w:eastAsia="方正仿宋_GBK" w:cs="方正仿宋_GBK"/>
          <w:sz w:val="32"/>
          <w:szCs w:val="32"/>
          <w:highlight w:val="none"/>
        </w:rPr>
        <w:t>项目</w:t>
      </w:r>
      <w:r>
        <w:rPr>
          <w:rFonts w:hint="eastAsia" w:ascii="方正仿宋_GBK" w:hAnsi="方正仿宋_GBK"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rPr>
        <w:t>个，新上后补助项目</w:t>
      </w: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个，结转项目</w:t>
      </w:r>
      <w:r>
        <w:rPr>
          <w:rFonts w:hint="eastAsia" w:ascii="方正仿宋_GBK" w:hAnsi="方正仿宋_GBK" w:eastAsia="方正仿宋_GBK" w:cs="方正仿宋_GBK"/>
          <w:sz w:val="32"/>
          <w:szCs w:val="32"/>
          <w:highlight w:val="none"/>
          <w:lang w:val="en-US" w:eastAsia="zh-CN"/>
        </w:rPr>
        <w:t>17</w:t>
      </w:r>
      <w:r>
        <w:rPr>
          <w:rFonts w:hint="eastAsia" w:ascii="方正仿宋_GBK" w:hAnsi="方正仿宋_GBK" w:eastAsia="方正仿宋_GBK" w:cs="方正仿宋_GBK"/>
          <w:sz w:val="32"/>
          <w:szCs w:val="32"/>
          <w:highlight w:val="none"/>
        </w:rPr>
        <w:t>个）、经费</w:t>
      </w:r>
      <w:r>
        <w:rPr>
          <w:rFonts w:hint="eastAsia" w:ascii="方正仿宋_GBK" w:hAnsi="方正仿宋_GBK" w:eastAsia="方正仿宋_GBK" w:cs="方正仿宋_GBK"/>
          <w:sz w:val="32"/>
          <w:szCs w:val="32"/>
          <w:highlight w:val="none"/>
          <w:lang w:val="en-US" w:eastAsia="zh-CN"/>
        </w:rPr>
        <w:t>4686</w:t>
      </w:r>
      <w:r>
        <w:rPr>
          <w:rFonts w:hint="eastAsia" w:ascii="方正仿宋_GBK" w:hAnsi="方正仿宋_GBK" w:eastAsia="方正仿宋_GBK" w:cs="方正仿宋_GBK"/>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3.科技成果转移转化。</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bCs/>
          <w:sz w:val="32"/>
          <w:szCs w:val="32"/>
          <w:highlight w:val="none"/>
          <w:lang w:eastAsia="zh-CN"/>
        </w:rPr>
        <w:t>一是</w:t>
      </w:r>
      <w:r>
        <w:rPr>
          <w:rFonts w:hint="eastAsia" w:ascii="方正仿宋_GBK" w:hAnsi="方正仿宋_GBK" w:eastAsia="方正仿宋_GBK" w:cs="方正仿宋_GBK"/>
          <w:sz w:val="32"/>
          <w:szCs w:val="32"/>
          <w:highlight w:val="none"/>
          <w:lang w:eastAsia="zh-CN"/>
        </w:rPr>
        <w:t>重点</w:t>
      </w:r>
      <w:r>
        <w:rPr>
          <w:rFonts w:hint="eastAsia" w:ascii="方正仿宋_GBK" w:hAnsi="方正仿宋_GBK" w:eastAsia="方正仿宋_GBK" w:cs="方正仿宋_GBK"/>
          <w:sz w:val="32"/>
          <w:szCs w:val="32"/>
          <w:highlight w:val="none"/>
        </w:rPr>
        <w:t>支持南疆县（市）为发展壮大特色优势产业而开展</w:t>
      </w:r>
      <w:r>
        <w:rPr>
          <w:rFonts w:hint="eastAsia" w:ascii="方正仿宋_GBK" w:hAnsi="方正仿宋_GBK" w:eastAsia="方正仿宋_GBK" w:cs="方正仿宋_GBK"/>
          <w:sz w:val="32"/>
          <w:szCs w:val="32"/>
          <w:highlight w:val="none"/>
          <w:lang w:eastAsia="zh-CN"/>
        </w:rPr>
        <w:t>的</w:t>
      </w:r>
      <w:r>
        <w:rPr>
          <w:rFonts w:hint="eastAsia" w:ascii="方正仿宋_GBK" w:hAnsi="方正仿宋_GBK" w:eastAsia="方正仿宋_GBK" w:cs="方正仿宋_GBK"/>
          <w:sz w:val="32"/>
          <w:szCs w:val="32"/>
          <w:highlight w:val="none"/>
        </w:rPr>
        <w:t>科技成果转化项目。</w:t>
      </w:r>
      <w:r>
        <w:rPr>
          <w:rFonts w:hint="eastAsia" w:ascii="方正仿宋_GBK" w:hAnsi="方正仿宋_GBK" w:eastAsia="方正仿宋_GBK" w:cs="方正仿宋_GBK"/>
          <w:b/>
          <w:bCs/>
          <w:sz w:val="32"/>
          <w:szCs w:val="32"/>
          <w:highlight w:val="none"/>
          <w:lang w:eastAsia="zh-CN"/>
        </w:rPr>
        <w:t>二是</w:t>
      </w:r>
      <w:r>
        <w:rPr>
          <w:rFonts w:hint="eastAsia" w:ascii="方正仿宋_GBK" w:hAnsi="方正仿宋_GBK" w:eastAsia="方正仿宋_GBK" w:cs="方正仿宋_GBK"/>
          <w:sz w:val="32"/>
          <w:szCs w:val="32"/>
          <w:highlight w:val="none"/>
          <w:lang w:eastAsia="zh-CN"/>
        </w:rPr>
        <w:t>重点</w:t>
      </w:r>
      <w:r>
        <w:rPr>
          <w:rFonts w:hint="eastAsia" w:ascii="方正仿宋_GBK" w:hAnsi="方正仿宋_GBK" w:eastAsia="方正仿宋_GBK" w:cs="方正仿宋_GBK"/>
          <w:i w:val="0"/>
          <w:iCs w:val="0"/>
          <w:caps w:val="0"/>
          <w:color w:val="000000"/>
          <w:spacing w:val="0"/>
          <w:sz w:val="32"/>
          <w:szCs w:val="32"/>
          <w:highlight w:val="none"/>
          <w:shd w:val="clear" w:color="auto" w:fill="FFFFFF"/>
          <w:lang w:val="en-US" w:eastAsia="zh-CN"/>
        </w:rPr>
        <w:t>支持高新技术企业、科技型中小企业牵头和产学研联合开展的科技研发活动。</w:t>
      </w:r>
      <w:r>
        <w:rPr>
          <w:rFonts w:hint="eastAsia" w:ascii="方正仿宋_GBK" w:hAnsi="方正仿宋_GBK" w:eastAsia="方正仿宋_GBK" w:cs="方正仿宋_GBK"/>
          <w:b/>
          <w:bCs/>
          <w:sz w:val="32"/>
          <w:szCs w:val="32"/>
          <w:highlight w:val="none"/>
          <w:lang w:eastAsia="zh-CN"/>
        </w:rPr>
        <w:t>三是</w:t>
      </w:r>
      <w:r>
        <w:rPr>
          <w:rFonts w:hint="eastAsia" w:ascii="方正仿宋_GBK" w:hAnsi="方正仿宋_GBK" w:eastAsia="方正仿宋_GBK" w:cs="方正仿宋_GBK"/>
          <w:sz w:val="32"/>
          <w:szCs w:val="32"/>
          <w:highlight w:val="none"/>
          <w:lang w:eastAsia="zh-CN"/>
        </w:rPr>
        <w:t>重点</w:t>
      </w:r>
      <w:r>
        <w:rPr>
          <w:rFonts w:hint="eastAsia" w:ascii="方正仿宋_GBK" w:hAnsi="方正仿宋_GBK" w:eastAsia="方正仿宋_GBK" w:cs="方正仿宋_GBK"/>
          <w:sz w:val="32"/>
          <w:szCs w:val="32"/>
          <w:highlight w:val="none"/>
        </w:rPr>
        <w:t>支持国家、自治区级技术转移转化中心等公共服务平台建设。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本年度支持科技成果转移转化项目</w:t>
      </w:r>
      <w:r>
        <w:rPr>
          <w:rFonts w:hint="eastAsia" w:ascii="方正仿宋_GBK" w:hAnsi="方正仿宋_GBK" w:eastAsia="方正仿宋_GBK" w:cs="方正仿宋_GBK"/>
          <w:sz w:val="32"/>
          <w:szCs w:val="32"/>
          <w:highlight w:val="none"/>
          <w:lang w:val="en-US" w:eastAsia="zh-CN"/>
        </w:rPr>
        <w:t>43</w:t>
      </w:r>
      <w:r>
        <w:rPr>
          <w:rFonts w:hint="eastAsia" w:ascii="方正仿宋_GBK" w:hAnsi="方正仿宋_GBK" w:eastAsia="方正仿宋_GBK" w:cs="方正仿宋_GBK"/>
          <w:sz w:val="32"/>
          <w:szCs w:val="32"/>
          <w:highlight w:val="none"/>
        </w:rPr>
        <w:t>个（新上</w:t>
      </w:r>
      <w:r>
        <w:rPr>
          <w:rFonts w:hint="eastAsia" w:ascii="方正仿宋_GBK" w:hAnsi="方正仿宋_GBK" w:eastAsia="方正仿宋_GBK" w:cs="方正仿宋_GBK"/>
          <w:sz w:val="32"/>
          <w:szCs w:val="32"/>
          <w:highlight w:val="none"/>
          <w:lang w:val="en-US" w:eastAsia="zh-CN"/>
        </w:rPr>
        <w:t>事前补助</w:t>
      </w:r>
      <w:r>
        <w:rPr>
          <w:rFonts w:hint="eastAsia" w:ascii="方正仿宋_GBK" w:hAnsi="方正仿宋_GBK" w:eastAsia="方正仿宋_GBK" w:cs="方正仿宋_GBK"/>
          <w:sz w:val="32"/>
          <w:szCs w:val="32"/>
          <w:highlight w:val="none"/>
        </w:rPr>
        <w:t>项目</w:t>
      </w: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个，新上后补助项目</w:t>
      </w:r>
      <w:r>
        <w:rPr>
          <w:rFonts w:hint="eastAsia" w:ascii="方正仿宋_GBK" w:hAnsi="方正仿宋_GBK" w:eastAsia="方正仿宋_GBK" w:cs="方正仿宋_GBK"/>
          <w:sz w:val="32"/>
          <w:szCs w:val="32"/>
          <w:highlight w:val="none"/>
          <w:lang w:val="en-US" w:eastAsia="zh-CN"/>
        </w:rPr>
        <w:t>26</w:t>
      </w:r>
      <w:r>
        <w:rPr>
          <w:rFonts w:hint="eastAsia" w:ascii="方正仿宋_GBK" w:hAnsi="方正仿宋_GBK" w:eastAsia="方正仿宋_GBK" w:cs="方正仿宋_GBK"/>
          <w:sz w:val="32"/>
          <w:szCs w:val="32"/>
          <w:highlight w:val="none"/>
        </w:rPr>
        <w:t>个，结转项目</w:t>
      </w:r>
      <w:r>
        <w:rPr>
          <w:rFonts w:hint="eastAsia" w:ascii="方正仿宋_GBK" w:hAnsi="方正仿宋_GBK" w:eastAsia="方正仿宋_GBK" w:cs="方正仿宋_GBK"/>
          <w:sz w:val="32"/>
          <w:szCs w:val="32"/>
          <w:highlight w:val="none"/>
          <w:lang w:val="en-US" w:eastAsia="zh-CN"/>
        </w:rPr>
        <w:t>16</w:t>
      </w:r>
      <w:r>
        <w:rPr>
          <w:rFonts w:hint="eastAsia" w:ascii="方正仿宋_GBK" w:hAnsi="方正仿宋_GBK" w:eastAsia="方正仿宋_GBK" w:cs="方正仿宋_GBK"/>
          <w:sz w:val="32"/>
          <w:szCs w:val="32"/>
          <w:highlight w:val="none"/>
        </w:rPr>
        <w:t>个）、经费</w:t>
      </w:r>
      <w:r>
        <w:rPr>
          <w:rFonts w:hint="eastAsia" w:ascii="方正仿宋_GBK" w:hAnsi="方正仿宋_GBK" w:eastAsia="方正仿宋_GBK" w:cs="方正仿宋_GBK"/>
          <w:sz w:val="32"/>
          <w:szCs w:val="32"/>
          <w:highlight w:val="none"/>
          <w:lang w:val="en-US" w:eastAsia="zh-CN"/>
        </w:rPr>
        <w:t>1791</w:t>
      </w:r>
      <w:r>
        <w:rPr>
          <w:rFonts w:hint="eastAsia" w:ascii="方正仿宋_GBK" w:hAnsi="方正仿宋_GBK" w:eastAsia="方正仿宋_GBK" w:cs="方正仿宋_GBK"/>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4.自由探索类基础研究。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重点支持</w:t>
      </w:r>
      <w:r>
        <w:rPr>
          <w:rFonts w:hint="eastAsia" w:ascii="方正仿宋_GBK" w:hAnsi="方正仿宋_GBK" w:eastAsia="方正仿宋_GBK" w:cs="方正仿宋_GBK"/>
          <w:sz w:val="32"/>
          <w:szCs w:val="32"/>
          <w:highlight w:val="none"/>
        </w:rPr>
        <w:t>聚焦</w:t>
      </w:r>
      <w:r>
        <w:rPr>
          <w:rFonts w:hint="eastAsia" w:ascii="方正仿宋_GBK" w:hAnsi="方正仿宋_GBK" w:eastAsia="方正仿宋_GBK" w:cs="方正仿宋_GBK"/>
          <w:sz w:val="32"/>
          <w:szCs w:val="32"/>
          <w:highlight w:val="none"/>
          <w:lang w:eastAsia="zh-CN"/>
        </w:rPr>
        <w:t>理学学科、煤炭煤电煤化工、新材料、生物育种、生物制药和绿色矿产等领域</w:t>
      </w:r>
      <w:r>
        <w:rPr>
          <w:rFonts w:hint="eastAsia" w:ascii="方正仿宋_GBK" w:hAnsi="方正仿宋_GBK" w:eastAsia="方正仿宋_GBK" w:cs="方正仿宋_GBK"/>
          <w:sz w:val="32"/>
          <w:szCs w:val="32"/>
          <w:highlight w:val="none"/>
        </w:rPr>
        <w:t>重大科学问题</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组织</w:t>
      </w:r>
      <w:r>
        <w:rPr>
          <w:rFonts w:hint="eastAsia" w:ascii="方正仿宋_GBK" w:hAnsi="方正仿宋_GBK" w:eastAsia="方正仿宋_GBK" w:cs="方正仿宋_GBK"/>
          <w:sz w:val="32"/>
          <w:szCs w:val="32"/>
          <w:highlight w:val="none"/>
          <w:lang w:eastAsia="zh-CN"/>
        </w:rPr>
        <w:t>开展</w:t>
      </w:r>
      <w:r>
        <w:rPr>
          <w:rFonts w:hint="eastAsia" w:ascii="方正仿宋_GBK" w:hAnsi="方正仿宋_GBK" w:eastAsia="方正仿宋_GBK" w:cs="方正仿宋_GBK"/>
          <w:sz w:val="32"/>
          <w:szCs w:val="32"/>
          <w:highlight w:val="none"/>
        </w:rPr>
        <w:t>具有前瞻性、先导性、引领性的</w:t>
      </w:r>
      <w:r>
        <w:rPr>
          <w:rFonts w:hint="eastAsia" w:ascii="方正仿宋_GBK" w:hAnsi="方正仿宋_GBK" w:eastAsia="方正仿宋_GBK" w:cs="方正仿宋_GBK"/>
          <w:sz w:val="32"/>
          <w:szCs w:val="32"/>
          <w:highlight w:val="none"/>
          <w:lang w:eastAsia="zh-CN"/>
        </w:rPr>
        <w:t>基础研究与应用基础研究。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sz w:val="32"/>
          <w:szCs w:val="32"/>
          <w:highlight w:val="none"/>
        </w:rPr>
        <w:t>本年度支持自由探索类基础研究项目</w:t>
      </w:r>
      <w:r>
        <w:rPr>
          <w:rFonts w:hint="eastAsia" w:ascii="方正仿宋_GBK" w:hAnsi="方正仿宋_GBK" w:eastAsia="方正仿宋_GBK" w:cs="方正仿宋_GBK"/>
          <w:sz w:val="32"/>
          <w:szCs w:val="32"/>
          <w:highlight w:val="none"/>
          <w:lang w:val="en-US" w:eastAsia="zh-CN"/>
        </w:rPr>
        <w:t>33</w:t>
      </w:r>
      <w:r>
        <w:rPr>
          <w:rFonts w:hint="eastAsia" w:ascii="方正仿宋_GBK" w:hAnsi="方正仿宋_GBK" w:eastAsia="方正仿宋_GBK" w:cs="方正仿宋_GBK"/>
          <w:sz w:val="32"/>
          <w:szCs w:val="32"/>
          <w:highlight w:val="none"/>
        </w:rPr>
        <w:t>个（新上</w:t>
      </w:r>
      <w:r>
        <w:rPr>
          <w:rFonts w:hint="eastAsia" w:ascii="方正仿宋_GBK" w:hAnsi="方正仿宋_GBK" w:eastAsia="方正仿宋_GBK" w:cs="方正仿宋_GBK"/>
          <w:sz w:val="32"/>
          <w:szCs w:val="32"/>
          <w:highlight w:val="none"/>
          <w:lang w:val="en-US" w:eastAsia="zh-CN"/>
        </w:rPr>
        <w:t>事前补助</w:t>
      </w:r>
      <w:r>
        <w:rPr>
          <w:rFonts w:hint="eastAsia" w:ascii="方正仿宋_GBK" w:hAnsi="方正仿宋_GBK" w:eastAsia="方正仿宋_GBK" w:cs="方正仿宋_GBK"/>
          <w:sz w:val="32"/>
          <w:szCs w:val="32"/>
          <w:highlight w:val="none"/>
        </w:rPr>
        <w:t>项目</w:t>
      </w:r>
      <w:r>
        <w:rPr>
          <w:rFonts w:hint="eastAsia" w:ascii="方正仿宋_GBK" w:hAnsi="方正仿宋_GBK" w:eastAsia="方正仿宋_GBK" w:cs="方正仿宋_GBK"/>
          <w:sz w:val="32"/>
          <w:szCs w:val="32"/>
          <w:highlight w:val="none"/>
          <w:lang w:val="en-US" w:eastAsia="zh-CN"/>
        </w:rPr>
        <w:t>23</w:t>
      </w:r>
      <w:r>
        <w:rPr>
          <w:rFonts w:hint="eastAsia" w:ascii="方正仿宋_GBK" w:hAnsi="方正仿宋_GBK" w:eastAsia="方正仿宋_GBK" w:cs="方正仿宋_GBK"/>
          <w:sz w:val="32"/>
          <w:szCs w:val="32"/>
          <w:highlight w:val="none"/>
        </w:rPr>
        <w:t>个</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结转项目</w:t>
      </w:r>
      <w:r>
        <w:rPr>
          <w:rFonts w:hint="eastAsia" w:ascii="方正仿宋_GBK" w:hAnsi="方正仿宋_GBK"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rPr>
        <w:t>个）</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经费</w:t>
      </w:r>
      <w:r>
        <w:rPr>
          <w:rFonts w:hint="eastAsia" w:ascii="方正仿宋_GBK" w:hAnsi="方正仿宋_GBK" w:eastAsia="方正仿宋_GBK" w:cs="方正仿宋_GBK"/>
          <w:sz w:val="32"/>
          <w:szCs w:val="32"/>
          <w:highlight w:val="none"/>
          <w:lang w:val="en-US" w:eastAsia="zh-CN"/>
        </w:rPr>
        <w:t>1018</w:t>
      </w:r>
      <w:r>
        <w:rPr>
          <w:rFonts w:hint="eastAsia" w:ascii="方正仿宋_GBK" w:hAnsi="方正仿宋_GBK" w:eastAsia="方正仿宋_GBK" w:cs="方正仿宋_GBK"/>
          <w:sz w:val="32"/>
          <w:szCs w:val="32"/>
          <w:highlight w:val="none"/>
        </w:rPr>
        <w:t>万元。</w:t>
      </w:r>
      <w:r>
        <w:rPr>
          <w:rFonts w:hint="eastAsia" w:ascii="方正仿宋_GBK" w:hAnsi="方正仿宋_GBK" w:eastAsia="方正仿宋_GBK" w:cs="方正仿宋_GBK"/>
          <w:sz w:val="32"/>
          <w:szCs w:val="32"/>
          <w:highlight w:val="none"/>
          <w:lang w:eastAsia="zh-CN"/>
        </w:rPr>
        <w:t>项目安排</w:t>
      </w:r>
      <w:r>
        <w:rPr>
          <w:rFonts w:hint="eastAsia" w:ascii="方正仿宋_GBK" w:hAnsi="方正仿宋_GBK" w:eastAsia="方正仿宋_GBK" w:cs="方正仿宋_GBK"/>
          <w:color w:val="auto"/>
          <w:kern w:val="2"/>
          <w:sz w:val="32"/>
          <w:szCs w:val="32"/>
          <w:highlight w:val="none"/>
          <w:lang w:val="en-US" w:eastAsia="zh-CN" w:bidi="ar-SA"/>
        </w:rPr>
        <w:t>具体如下：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2025年中央引导地方科技发展专项资金安排资金情况表</w:t>
      </w:r>
    </w:p>
    <w:tbl>
      <w:tblPr>
        <w:tblStyle w:val="9"/>
        <w:tblW w:w="87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3684"/>
        <w:gridCol w:w="2921"/>
        <w:gridCol w:w="1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default" w:ascii="方正黑体_GBK" w:hAnsi="方正黑体_GBK" w:eastAsia="方正黑体_GBK" w:cs="方正黑体_GBK"/>
                <w:i w:val="0"/>
                <w:color w:val="000000"/>
                <w:kern w:val="0"/>
                <w:sz w:val="20"/>
                <w:szCs w:val="20"/>
                <w:u w:val="none"/>
                <w:lang w:val="en-US" w:eastAsia="zh-CN" w:bidi="ar"/>
              </w:rPr>
              <w:t>序号</w:t>
            </w:r>
          </w:p>
        </w:tc>
        <w:tc>
          <w:tcPr>
            <w:tcW w:w="3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20"/>
                <w:szCs w:val="20"/>
                <w:u w:val="none"/>
                <w:lang w:val="en-US" w:eastAsia="zh-CN" w:bidi="ar"/>
              </w:rPr>
            </w:pPr>
            <w:r>
              <w:rPr>
                <w:rFonts w:hint="default" w:ascii="方正黑体_GBK" w:hAnsi="方正黑体_GBK" w:eastAsia="方正黑体_GBK" w:cs="方正黑体_GBK"/>
                <w:i w:val="0"/>
                <w:color w:val="000000"/>
                <w:kern w:val="0"/>
                <w:sz w:val="20"/>
                <w:szCs w:val="20"/>
                <w:u w:val="none"/>
                <w:lang w:val="en-US" w:eastAsia="zh-CN" w:bidi="ar"/>
              </w:rPr>
              <w:t>项目名称</w:t>
            </w:r>
          </w:p>
        </w:tc>
        <w:tc>
          <w:tcPr>
            <w:tcW w:w="29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20"/>
                <w:szCs w:val="20"/>
                <w:u w:val="none"/>
                <w:lang w:val="en-US" w:eastAsia="zh-CN" w:bidi="ar"/>
              </w:rPr>
            </w:pPr>
            <w:r>
              <w:rPr>
                <w:rFonts w:hint="default" w:ascii="方正黑体_GBK" w:hAnsi="方正黑体_GBK" w:eastAsia="方正黑体_GBK" w:cs="方正黑体_GBK"/>
                <w:i w:val="0"/>
                <w:color w:val="000000"/>
                <w:kern w:val="0"/>
                <w:sz w:val="20"/>
                <w:szCs w:val="20"/>
                <w:u w:val="none"/>
                <w:lang w:val="en-US" w:eastAsia="zh-CN" w:bidi="ar"/>
              </w:rPr>
              <w:t>申报单位</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安排资金</w:t>
            </w:r>
            <w:r>
              <w:rPr>
                <w:rFonts w:hint="default" w:ascii="方正黑体_GBK" w:hAnsi="方正黑体_GBK" w:eastAsia="方正黑体_GBK" w:cs="方正黑体_GBK"/>
                <w:i w:val="0"/>
                <w:color w:val="000000"/>
                <w:kern w:val="0"/>
                <w:sz w:val="20"/>
                <w:szCs w:val="20"/>
                <w:u w:val="none"/>
                <w:lang w:val="en-US" w:eastAsia="zh-CN" w:bidi="ar"/>
              </w:rPr>
              <w:br w:type="textWrapping"/>
            </w:r>
            <w:r>
              <w:rPr>
                <w:rFonts w:hint="default" w:ascii="方正黑体_GBK" w:hAnsi="方正黑体_GBK" w:eastAsia="方正黑体_GBK" w:cs="方正黑体_GBK"/>
                <w:i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_GBK" w:hAnsi="方正黑体_GBK" w:eastAsia="方正黑体_GBK" w:cs="方正黑体_GBK"/>
                <w:b/>
                <w:bCs/>
                <w:i w:val="0"/>
                <w:iCs w:val="0"/>
                <w:color w:val="000000"/>
                <w:sz w:val="20"/>
                <w:szCs w:val="20"/>
                <w:u w:val="none"/>
              </w:rPr>
            </w:pP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_GBK" w:hAnsi="方正黑体_GBK" w:eastAsia="方正黑体_GBK" w:cs="方正黑体_GBK"/>
                <w:b/>
                <w:bCs/>
                <w:i w:val="0"/>
                <w:iCs w:val="0"/>
                <w:color w:val="000000"/>
                <w:sz w:val="20"/>
                <w:szCs w:val="20"/>
                <w:u w:val="none"/>
              </w:rPr>
            </w:pPr>
          </w:p>
        </w:tc>
        <w:tc>
          <w:tcPr>
            <w:tcW w:w="29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_GBK" w:hAnsi="方正黑体_GBK" w:eastAsia="方正黑体_GBK" w:cs="方正黑体_GBK"/>
                <w:b/>
                <w:bCs/>
                <w:i w:val="0"/>
                <w:iCs w:val="0"/>
                <w:color w:val="000000"/>
                <w:sz w:val="20"/>
                <w:szCs w:val="20"/>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方正黑体_GBK" w:hAnsi="方正黑体_GBK" w:eastAsia="方正黑体_GBK" w:cs="方正黑体_GBK"/>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20"/>
                <w:szCs w:val="20"/>
                <w:u w:val="none"/>
                <w:lang w:val="en-US" w:eastAsia="zh-CN" w:bidi="ar"/>
              </w:rPr>
            </w:pPr>
            <w:r>
              <w:rPr>
                <w:rFonts w:hint="default" w:ascii="方正黑体_GBK" w:hAnsi="方正黑体_GBK" w:eastAsia="方正黑体_GBK" w:cs="方正黑体_GBK"/>
                <w:i w:val="0"/>
                <w:color w:val="000000"/>
                <w:kern w:val="0"/>
                <w:sz w:val="20"/>
                <w:szCs w:val="20"/>
                <w:u w:val="none"/>
                <w:lang w:val="en-US" w:eastAsia="zh-CN" w:bidi="ar"/>
              </w:rPr>
              <w:t>总计</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20"/>
                <w:szCs w:val="20"/>
                <w:u w:val="none"/>
                <w:lang w:val="en-US" w:eastAsia="zh-CN" w:bidi="ar"/>
              </w:rPr>
            </w:pPr>
            <w:r>
              <w:rPr>
                <w:rFonts w:hint="default" w:ascii="方正黑体_GBK" w:hAnsi="方正黑体_GBK" w:eastAsia="方正黑体_GBK" w:cs="方正黑体_GBK"/>
                <w:i w:val="0"/>
                <w:color w:val="000000"/>
                <w:kern w:val="0"/>
                <w:sz w:val="20"/>
                <w:szCs w:val="20"/>
                <w:u w:val="none"/>
                <w:lang w:val="en-US" w:eastAsia="zh-CN" w:bidi="ar"/>
              </w:rPr>
              <w:t>10930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20"/>
                <w:szCs w:val="20"/>
                <w:u w:val="none"/>
                <w:lang w:val="en-US" w:eastAsia="zh-CN" w:bidi="ar"/>
              </w:rPr>
            </w:pPr>
            <w:r>
              <w:rPr>
                <w:rFonts w:hint="default" w:ascii="方正黑体_GBK" w:hAnsi="方正黑体_GBK" w:eastAsia="方正黑体_GBK" w:cs="方正黑体_GBK"/>
                <w:i w:val="0"/>
                <w:color w:val="000000"/>
                <w:kern w:val="0"/>
                <w:sz w:val="20"/>
                <w:szCs w:val="20"/>
                <w:u w:val="none"/>
                <w:lang w:val="en-US" w:eastAsia="zh-CN" w:bidi="ar"/>
              </w:rPr>
              <w:t>一、区域科技创新体系建设</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20"/>
                <w:szCs w:val="20"/>
                <w:u w:val="none"/>
                <w:lang w:val="en-US" w:eastAsia="zh-CN" w:bidi="ar"/>
              </w:rPr>
            </w:pPr>
            <w:r>
              <w:rPr>
                <w:rFonts w:hint="default" w:ascii="方正黑体_GBK" w:hAnsi="方正黑体_GBK" w:eastAsia="方正黑体_GBK" w:cs="方正黑体_GBK"/>
                <w:i w:val="0"/>
                <w:color w:val="000000"/>
                <w:kern w:val="0"/>
                <w:sz w:val="20"/>
                <w:szCs w:val="20"/>
                <w:u w:val="none"/>
                <w:lang w:val="en-US" w:eastAsia="zh-CN" w:bidi="ar"/>
              </w:rPr>
              <w:t>3435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20"/>
                <w:szCs w:val="20"/>
                <w:u w:val="none"/>
                <w:lang w:val="en-US" w:eastAsia="zh-CN" w:bidi="ar"/>
              </w:rPr>
            </w:pPr>
            <w:r>
              <w:rPr>
                <w:rFonts w:hint="default" w:ascii="方正黑体_GBK" w:hAnsi="方正黑体_GBK" w:eastAsia="方正黑体_GBK" w:cs="方正黑体_GBK"/>
                <w:i w:val="0"/>
                <w:color w:val="000000"/>
                <w:kern w:val="0"/>
                <w:sz w:val="20"/>
                <w:szCs w:val="20"/>
                <w:u w:val="none"/>
                <w:lang w:val="en-US" w:eastAsia="zh-CN" w:bidi="ar"/>
              </w:rPr>
              <w:t>（一）结转项目</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20"/>
                <w:szCs w:val="20"/>
                <w:u w:val="none"/>
                <w:lang w:val="en-US" w:eastAsia="zh-CN" w:bidi="ar"/>
              </w:rPr>
            </w:pPr>
            <w:r>
              <w:rPr>
                <w:rFonts w:hint="default" w:ascii="方正黑体_GBK" w:hAnsi="方正黑体_GBK" w:eastAsia="方正黑体_GBK" w:cs="方正黑体_GBK"/>
                <w:i w:val="0"/>
                <w:color w:val="000000"/>
                <w:kern w:val="0"/>
                <w:sz w:val="20"/>
                <w:szCs w:val="20"/>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西甜瓜智能高效机械化移栽关键技术与装备研发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新疆农业职业技术大学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bCs/>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（二）新上项目</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bCs/>
                <w:i w:val="0"/>
                <w:iCs w:val="0"/>
                <w:color w:val="000000"/>
                <w:sz w:val="22"/>
                <w:szCs w:val="22"/>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3281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基于大田棉花广域监测技术的智能水肥决策系统技术研究和示范推广</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新疆慧尔智联技术有限公司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主要农作物需水预测与灌溉预报关键技术集成及应用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中国农业科学院西部农业研究中心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新疆水旱灾害防御能力提升技术研究与应用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新疆水利水电科学研究院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肉牛养殖粪污控排减损绿色高效利用关键技术装备研发与示范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新疆农业科学院农业机械化研究所</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绵羊抗病育种实验平台构建与免疫力传递技术研究及应用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新疆维吾尔自治区畜牧科学院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地源性生物饲料创制及其多元高效综合利用技术集成创新</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和田昆仑利来生物科技有限公司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干旱区青贮玉米高效生产关键技术研发与示范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核桃内种皮鞣花单宁/鞣花酸高效制备及健康食品开发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新疆浙疆果业有限公司、浙江大学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基于AI赋能的核桃蛋白改性及产品开发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新疆农业大学、中国农业大学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基于表面增强拉曼光谱的新疆特色农畜产品快速检测技术研究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0"/>
                <w:szCs w:val="20"/>
                <w:u w:val="none"/>
                <w:lang w:val="en-US"/>
              </w:rPr>
            </w:pPr>
            <w:r>
              <w:rPr>
                <w:rFonts w:hint="eastAsia" w:ascii="方正仿宋_GBK" w:hAnsi="方正仿宋_GBK" w:eastAsia="方正仿宋_GBK" w:cs="方正仿宋_GBK"/>
                <w:i w:val="0"/>
                <w:iCs w:val="0"/>
                <w:color w:val="000000"/>
                <w:kern w:val="0"/>
                <w:sz w:val="20"/>
                <w:szCs w:val="20"/>
                <w:u w:val="none"/>
                <w:lang w:val="en-US" w:eastAsia="zh-CN" w:bidi="ar"/>
              </w:rPr>
              <w:t>新疆农业科学院农业质量标准与检测技术研究所</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亚麻籽油优质化加工关键技术创新与产业化应用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新疆绿洲源农业科技有限公司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多尺度-多维空间不连续增强耐高温高强韧钛基复合材料设计与制备技术研究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新疆湘润新材料科技有限公司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PEM电解槽下一代微孔扩散层关键技术研究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面向戈壁果园的苹果采摘机器人关键技术研究与应用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戈壁沙漠温室空地立体智能除沙尘装备创制与集成应用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新疆农业科学院农业机械化研究所</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基于在线声纹识别的风机叶片健康监测与故障诊断技术及其应用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乌鲁木齐金风天翼风电有限公司/国家重点研发计划实验基地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变电站综合运维系统关健技术研发与应用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高速公路预制构件多源感知智慧建造关键技术研究与应用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新疆路桥建设集团有限公司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基于多模态大模型的南疆智慧林果产业服务与示范技术研究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新疆科技学院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肺结核相关慢性并发症的发病特点及机制研究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新疆维吾尔自治区中医药研究院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急性重症进展脑卒中的创新转运及多途径协同救治模式建立及推广应用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新疆维吾尔自治区人民医院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基于脂质代谢产物的诊断模型在新疆地区饲鸽者肺患者早期诊断中的应用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新疆维吾尔自治区人民医院白鸟湖医院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基于人工智能结合免疫力数字信号检测与处理的新疆地区炎性关节病诊疗关键技术研究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基于国产化空间计算技术的胃癌诊治情景教学模拟平台建设和推广</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中国人民解放军新疆军区总医院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脊柱感染性疾病多模态队列数据库建立及平台建设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新疆维吾尔自治区中医药研究院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新疆菊芋菊粉精深加工产品技术研发及产业化示范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新疆农业科学院农产品贮藏加工研究所</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慕士塔格1.93米光学望远镜合作观测研究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中国科学院新疆天文台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新疆科技安全预警关键技术研发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新疆维吾尔自治区科技发展战略研究院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“一带一路”农业科技成果转移转化创新平台建设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新疆农业科学院科技成果转化中心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bCs/>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（三）后补助项目</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bCs/>
                <w:i w:val="0"/>
                <w:iCs w:val="0"/>
                <w:color w:val="000000"/>
                <w:sz w:val="22"/>
                <w:szCs w:val="22"/>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搏梦工场数字文化创意产业园建设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乌鲁木齐搏得梦大学生创业基地管理有限公司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二、科技创新基地建设</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4686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（一）结转项目</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中亚高发病分子细胞前沿创新研究平台建设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新疆医科大学第一附属医院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新疆特色农产品品质评价及功能挖掘平台建设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新疆农业科学院农业质量标准与检测技术研究所</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新疆地区胃肠道肿瘤规范化诊疗体系及医疗大数据库建设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新疆医科大学附属肿瘤医院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新疆中药民族药制剂研发创新平台建设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新疆维吾尔自治区维吾尔医院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基于大数据的肝包虫病智能化精准诊疗创新基地的建设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新疆医科大学第一附属医院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基于人工智能的肝脏占位病变超声同质化诊断平台建设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新疆医科大学第一附属医院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新疆基地浅埋煤层多重复杂介质地下水突水防治关键技术及应用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新疆工程学院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新疆林果栽培与加工技术平台建设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新疆林业科学院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bCs/>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（二）新上项目</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kern w:val="0"/>
                <w:sz w:val="20"/>
                <w:szCs w:val="20"/>
                <w:u w:val="none"/>
                <w:lang w:val="en-US" w:eastAsia="zh-CN" w:bidi="ar"/>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1590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滴水春灌技术的气候适应性与次生盐渍化防控</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新疆水利水电科学研究院（依托平台新疆农业节水工程技术研究中心）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马繁育与运动性能调控机制研究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新疆农业大学（新疆马繁育与运动生理重点实验室）</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罗布麻种质资源基地建设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阿勒泰戈宝茶股份有限公司（新疆罗布麻工程技术研究中心（红麻））</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新疆地域特色食源性野生菌中有毒物质筛查技术攻关</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中国科学院新疆理化技术研究所（新疆痕量化学物质感知重点实验室）</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芯片结构微型热敏电阻器关键技术研究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新疆热敏电阻材料及元器件工程技术研究中心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藏匿危险品磁探-嗅觉并行发现技术及微流控阵列鉴别方法研究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中国科学院新疆理化技术研究所（新疆危爆品防控工程技术研究中心）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风电装备数字化设计与智能制造关键技术研发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新疆大学/新疆数字化设计与制造工程技术研究中心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高集成式中速永磁风电机组轴电流抑制技术研究及应用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金风科技股份有限公司（国家风力发电工程技术研究中心）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煤液化油渣高值化利用基地建设及多孔碳负极材料制备关键技术研发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新疆大学/省部共建“碳基能源资源化学与利用”国家重点实验室</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基于信号智能检测与处理的边缘数据治理创新平台建设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新疆大学（新疆信号处理与检测重点实验室）</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基于多模态异构数据融合的原发性醛固酮增多症精准诊断系统关键技术研究和示范应用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新疆维吾尔自治区人民医院（新疆高血压（心脑血管）疾病临床医学研究中心）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新疆特色活性天然产物靶标发现、确认及成药性优化平台的构建</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新疆医科大学（新疆天然药物活性组分与释药技术重点实验室）</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负载PCE10水凝胶关键技术研发及银屑病诊疗创新平台建设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新疆维吾尔自治区人民医院（新疆皮肤病研究重点实验室）</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bCs/>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（三）后补助项目</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大通量高强度梯度孔中空纤维膜开发与分离膜前沿科技创新平台建设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德蓝水技术股份有限公司（新疆水处理工程技术研究中心）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双锯筒锯齿轧花机的研发应用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奎屯银力棉油机械有限公司（新疆棉花加工机械工程技术研究中心）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生物医药科技创新产品研发基地</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新疆西部赛澳生物科技有限责任公司（新疆组织细胞工程重点实验室）</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超深井钻井液用包被絮凝剂产业化</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克拉玛依市奥泽工贸有限责任公司（新疆油田井壁防塌封堵工程技术研究中心）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加工番茄产业链创新平台建设与产品升级创制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中粮屯河番茄有限公司（新疆加工番茄工程技术研究中心）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中建新疆建工科创平台基地建设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新疆建筑科学研究院（有限责任公司）（新疆绿色建筑工程技术研究中心）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高抗蠕变铝合金电缆关键技术研究及产业化</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特变电工股份有限公司（国家特高压变压器工程技术研究中心）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分布式光纤（DTS+DAS）生产测井技术研发与应用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新疆华隆油田科技股份有限公司（新疆油田采输工艺控制工程技术研究中心）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抗生素环境风险评估创新基地建设研究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伊犁川宁生物技术股份有限公司（新疆抗生素发酵工程技术研究中心）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三、科技成果转移转化</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1791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（一）结转项目</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犊牛和羔羊常见病原快速筛检技术集成和示范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抗寒坚果良种种质创新及关键技术研发与示范用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新疆林业科学院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优质强筋春小麦核春1号和丰源春3号良种繁育及绿色高效关键技术研究与应用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新疆农业科学院核技术生物技术研究所</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基于质谱芯片技术检测布鲁氏菌感染诊断试剂盒的研制和应用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新疆医科大学附属肿瘤医院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盐碱地绿色低碳修复改良技术集成与应用示范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喀什大学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南疆区小麦-玉米微喷灌水肥一体化技术集成与示范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巴音郭楞职业技术学院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基于智能感知与大数据分析的煤基醇氨联产深加工关键技术研发与应用示范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新疆工程学院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69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新型医养结合背景下智慧养老体系的建设及推广应用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新疆医科大学第七附属医院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棉、油、糖数字精准高效生产技术体系集成与示范推广</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新疆农业科学院经济作物研究所</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（二）新上项目</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肉鸽功能性日粮配置技术转化与示范推广</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墨玉县蓝海鸽业发展有限公司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蛋鸡粉状饲料工艺研发及示范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喀什天康饲料科技有限公司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小龙虾水花苗集约化培育及东繁西养关键技术研究与示范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伊犁悦然生态农业有限公司，盐城工学院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新雀3号无芒雀麦良种繁育与示范推广</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阿克苏阳光农业有限公司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红枣高值化精深加工关键技术研究与示范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麦盖提刀郎果农农副产品有限公司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大规模高品质残膜再生塑料造粒智能化生产关键技术研发及应用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巴州新如兴环保科技有限公司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补气类中药材黄芪规范化栽培技术及全株综合利用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新疆弘韬农业发展有限公司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中草药抗盐碱功能菌原位扩培与水肥菌一体化技术在北疆黄苓种植领域的产业化应用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青河蓝斯利药业有限公司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基于藻菌调控的设施番茄土壤健康培育与高产优质栽培技术示范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特克斯县易隆农业科技有限公司、鲁东大学、青岛大学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南疆特色富硒香菇液体菌种生产技术研发与示范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阿克陶康太菌业有限公司、中国农业科学院都市农业研究所、克孜勒苏职业技术学院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数据驱动的智慧农业水肥一体化模式研究与推广应用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新疆心连心能源化工有限公司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牛、羊多杀性巴氏杆菌基因缺失灭活疫苗及配套ELISA检测试剂盒研发与应用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天康生物制药有限公司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羊精液低温长效保存关键技术创新与产业化应用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和田地区津垦牧业科技有限公司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优质高产耐密玉米新品种“JN28”“杰农628”转化应用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新疆杰农种子有限责任公司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小麦新粮新品种高产优质高效栽培技术研究与示范推广</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九圣禾种业股份有限公司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色素辣椒增产、提色绿色技术集成与应用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巴州加木农业科技有限公司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新疆新式果茶加工关键技术研究及产业化示范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喀什妃尝香农业发展有限公司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薰衣草资源的高值化利用关键技术及其应用示范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伊犁紫苏丽人生物科技有限公司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高纯度番茄红素粉剂及水溶性成分分级提取技术研发及应用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新疆科宇科技有限公司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AL5高强高导铝合金导线关键技术研究及产业化项目</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特变电工新疆电缆有限公司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苹果高效采摘机器人</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沙雅钵施然智能农机有限公司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南疆多泥沙河流水工建筑物修补与加固关键性技术研究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新疆科能新材料技术股份有限公司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装配式涵洞结构体系优化与建造技术成果转化应用研究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新疆市政轨道交通有限公司、新疆交通建设集团股份有限公司、重庆交通大学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基于大模型的科研项目数据智能分析研究和应用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新疆西北星信息技术有限责任公司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智能化生产应用于玫瑰花口服液对其质量影响的相关性研究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喀什昆仑维吾尔药业有限公司，江苏中有信科技有限公司，中国药科大学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北疆技术交易中心（克拉玛依科技大市场）建设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克拉玛依市先进科技联合研究院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丝路联创科技成果转移转化中心建设</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昌吉生产力促进中心（有限公司）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（三）后补助项目</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油田采出液低温密闭界面快速脱水集成技术产业化推广</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新疆科力新技术发展股份有限公司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鲜食葡萄双组分及商标卡保鲜产品研发和产业示范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乌鲁木齐市格瑞德保鲜科技有限公司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大温差环境下高等级公路路面材料的研发及应用示范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新疆心路科技有限公司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基于新污染物环境风险的典型工业园区监测评估技术应用与推广</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新疆天熙环保科技有限公司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新疆吐哈盆地葡萄芳香型蒸馏酒及利口酒生产关键工艺技术集成与示范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吐鲁番楼兰酒庄股份有限公司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优质强筋高产春小麦品种“核春115”良种繁育及示范推广</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新疆新瑞禾农业发展有限公司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吐鲁番酿酒葡萄标准化种植及加工技术集成示范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新疆吐鲁番新葡王酒业有限公司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四、自由探索类基础研究</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（一）结转项目</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西甜瓜生物育种体系的建立与雄性不育优异新种质创制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新疆农业科学院哈密瓜研究中心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HLA-DRA促进小胶质细胞活性参与NMOSD发病机制研究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新疆医科大学第二附属医院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BCL6介导WNT信号通路调控滋养细胞合胞化在不明原因复发性流产中的机制研究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新疆医科大学第一附属医院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间充质干细胞调节小胶质细胞自噬对急性缺血再灌注损伤的机制研究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新疆医科大学第一附属医院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109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氨氢一体化电池系统关键技术研发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新疆师范大学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铁基材料的制备及其渣油悬浮床加氢裂化性能研究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PEO-PPO-PEO水凝胶负载rAAV介导SOX9调控巨噬细胞活化促进椎间盘修复与再生的作用机制研究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新疆医科大学第一附属医院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颅内动脉瘤的全表型特征关联研究及基于AI的临床精准诊疗模型开发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新疆医科大学第一附属医院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锂捕获诱导硅负极容量衰退的机制研究及抑制方法</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（二）新上项目</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新疆干旱环境微生物基因组资源挖掘及其功能基因评价</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新疆农业科学院微生物应用研究所</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环境氮含量改变对中哈边境迁飞性害虫意大利蝗灾变趋势的影响</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新疆师范大学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同位素示踪的地下水位变化下胡杨耗水规律及影响机制研究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新疆师范大学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HaAGOPNH1和HpAGO4A调控梭梭和白梭梭耐旱的功能机制</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多组学驱动的棉花抗黄萎病多肽筛选与免疫调控机制研究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119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谷子耐旱关键基因的克隆与新材料创制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新疆农业科学院粮食作物研究所</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新能源储能变流器用新型非晶纳米晶软磁合金研发及应用</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超声喷涂NTC热敏陶瓷原位成型及常压致密化烧结机理研究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中国科学院新疆理化技术研究所</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变密度多层二氧化硅纳米纤维毡真空绝热材料生产工艺及液氢储罐绝热保温应用示范</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新疆理工学院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高效Mg</w:t>
            </w:r>
            <w:r>
              <w:rPr>
                <w:rFonts w:hint="eastAsia" w:ascii="方正仿宋_GBK" w:hAnsi="方正仿宋_GBK" w:eastAsia="方正仿宋_GBK" w:cs="方正仿宋_GBK"/>
                <w:i w:val="0"/>
                <w:iCs w:val="0"/>
                <w:color w:val="000000"/>
                <w:kern w:val="0"/>
                <w:sz w:val="20"/>
                <w:szCs w:val="20"/>
                <w:u w:val="none"/>
                <w:vertAlign w:val="superscript"/>
                <w:lang w:val="en-US" w:eastAsia="zh-CN" w:bidi="ar"/>
              </w:rPr>
              <w:t>2+</w:t>
            </w:r>
            <w:r>
              <w:rPr>
                <w:rFonts w:hint="eastAsia" w:ascii="方正仿宋_GBK" w:hAnsi="方正仿宋_GBK" w:eastAsia="方正仿宋_GBK" w:cs="方正仿宋_GBK"/>
                <w:i w:val="0"/>
                <w:iCs w:val="0"/>
                <w:color w:val="000000"/>
                <w:kern w:val="0"/>
                <w:sz w:val="20"/>
                <w:szCs w:val="20"/>
                <w:u w:val="none"/>
                <w:lang w:val="en-US" w:eastAsia="zh-CN" w:bidi="ar"/>
              </w:rPr>
              <w:t>/Li</w:t>
            </w:r>
            <w:r>
              <w:rPr>
                <w:rFonts w:hint="eastAsia" w:ascii="方正仿宋_GBK" w:hAnsi="方正仿宋_GBK" w:eastAsia="方正仿宋_GBK" w:cs="方正仿宋_GBK"/>
                <w:i w:val="0"/>
                <w:iCs w:val="0"/>
                <w:color w:val="000000"/>
                <w:kern w:val="0"/>
                <w:sz w:val="20"/>
                <w:szCs w:val="20"/>
                <w:u w:val="none"/>
                <w:vertAlign w:val="superscript"/>
                <w:lang w:val="en-US" w:eastAsia="zh-CN" w:bidi="ar"/>
              </w:rPr>
              <w:t>+</w:t>
            </w:r>
            <w:r>
              <w:rPr>
                <w:rFonts w:hint="eastAsia" w:ascii="方正仿宋_GBK" w:hAnsi="方正仿宋_GBK" w:eastAsia="方正仿宋_GBK" w:cs="方正仿宋_GBK"/>
                <w:i w:val="0"/>
                <w:iCs w:val="0"/>
                <w:color w:val="000000"/>
                <w:kern w:val="0"/>
                <w:sz w:val="20"/>
                <w:szCs w:val="20"/>
                <w:u w:val="none"/>
                <w:lang w:val="en-US" w:eastAsia="zh-CN" w:bidi="ar"/>
              </w:rPr>
              <w:t>分离膜的设计及相关输运与分离机制的研究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复杂环境下红花精准智能采收机器人研究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新疆农业大学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煤炭地下气化超高压高温封堵区可燃混合气体爆炸机理与规律的研究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新疆工程学院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稠油生产与新能源耦合决策优化建模与应用研究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中国石油大学(北京)克拉玛依校区</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DNA甲基化修饰调控慢性高原缺氧非可控炎症损伤的作用与机制研究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中国人民解放军新疆军区总医院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128</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基于3D超分辨率超声成像与心肌声学造影的冠脉微循环功能障碍一站式可视化诊断平台的开发及建立</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新疆医科大学第一附属医院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129</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单细胞技术研究IRF8对RNF213转录调控的异常介导T细胞免疫功能障碍促进垂体腺瘤侵袭性的机制研究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新疆维吾尔自治区人民医院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130</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整合临床多模态数据的分于诊断技术在前列腺离根治性治疗后生化复发预测中的应用研究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新疆维吾尔自治区人民医院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131</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口服甘油三酯前药体内定位示踪方法的建立及前药的吸收和转运机制研究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3"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132</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靶向APC布鲁氏菌多表位疫苗OMP25-OMP31-VirB8-VirB10-CTLA-4构建和免疫机制研究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新疆医科大学第一附属医院</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133</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不确定环境下多因子试验设计的建模及分析</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新疆大学</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134</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古尔班通古特沙漠冬季稳定边界层特征及对雾的影响研究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中国气象局乌鲁木齐沙漠气象研究所</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135</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塔里木河流域洪水演变机理及生态化利用模式</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中国科学院新疆生态与地理研究所</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136</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Hub-filament系统的观测研究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中国科学院新疆天文台</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2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（三）后补助项目</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黑体_GBK" w:hAnsi="方正黑体_GBK" w:eastAsia="方正黑体_GBK" w:cs="方正黑体_GBK"/>
                <w:b w:val="0"/>
                <w:bCs w:val="0"/>
                <w:i w:val="0"/>
                <w:iCs w:val="0"/>
                <w:color w:val="000000"/>
                <w:sz w:val="20"/>
                <w:szCs w:val="20"/>
                <w:u w:val="none"/>
              </w:rPr>
            </w:pPr>
            <w:r>
              <w:rPr>
                <w:rFonts w:hint="default" w:ascii="方正黑体_GBK" w:hAnsi="方正黑体_GBK" w:eastAsia="方正黑体_GBK" w:cs="方正黑体_GBK"/>
                <w:b w:val="0"/>
                <w:bCs w:val="0"/>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137</w:t>
            </w:r>
          </w:p>
        </w:tc>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低能耗锂辉石流态化焙烧提锂技术研究</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新疆有色金属研究所有限公司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80</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二</w:t>
      </w:r>
      <w:r>
        <w:rPr>
          <w:rFonts w:hint="eastAsia" w:ascii="方正黑体_GBK" w:hAnsi="方正黑体_GBK" w:eastAsia="方正黑体_GBK" w:cs="方正黑体_GBK"/>
          <w:sz w:val="32"/>
          <w:szCs w:val="32"/>
          <w:highlight w:val="none"/>
        </w:rPr>
        <w:t>、组织实施情况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lang w:eastAsia="zh-CN"/>
        </w:rPr>
        <w:t>（一） 主管部门职责分工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引导资金由新疆维吾尔自治区财政厅和新疆维吾尔自治区科学技术厅协同管理，具体职责分工如下：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新疆维吾尔自治区财政厅主要负责引导资金管理制度的制定，总的预算编制、拨付，绩效管理等。具体包括：会同新疆维吾尔自治区科学技术厅制定引导资金相关管理政策，确定引导资金支持方向；根据中央财政下达的年度预算，配合新疆维吾尔自治区科学技术厅制定年度引导资金实施方案，审核下达资金；会同新疆维吾尔自治区科学技术厅对引导资金使用情况开展监督检查，并实施全过程绩效管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2.新疆维吾尔自治区科学技术厅会同</w:t>
      </w:r>
      <w:r>
        <w:rPr>
          <w:rFonts w:hint="eastAsia" w:ascii="方正仿宋_GBK" w:hAnsi="方正仿宋_GBK" w:eastAsia="方正仿宋_GBK" w:cs="方正仿宋_GBK"/>
          <w:b w:val="0"/>
          <w:bCs w:val="0"/>
          <w:sz w:val="32"/>
          <w:szCs w:val="32"/>
          <w:highlight w:val="none"/>
          <w:lang w:val="en-US" w:eastAsia="zh-CN"/>
        </w:rPr>
        <w:t>新疆维吾尔自治区财政厅</w:t>
      </w:r>
      <w:r>
        <w:rPr>
          <w:rFonts w:hint="eastAsia" w:ascii="方正仿宋_GBK" w:hAnsi="方正仿宋_GBK" w:eastAsia="方正仿宋_GBK" w:cs="方正仿宋_GBK"/>
          <w:sz w:val="32"/>
          <w:szCs w:val="32"/>
          <w:highlight w:val="none"/>
          <w:lang w:val="en-US" w:eastAsia="zh-CN"/>
        </w:rPr>
        <w:t>合理分配预算、推动开展项目储备，负责引导资金的日常监管、评估和绩效管理。具体包括：配合</w:t>
      </w:r>
      <w:r>
        <w:rPr>
          <w:rFonts w:hint="eastAsia" w:ascii="方正仿宋_GBK" w:hAnsi="方正仿宋_GBK" w:eastAsia="方正仿宋_GBK" w:cs="方正仿宋_GBK"/>
          <w:b w:val="0"/>
          <w:bCs w:val="0"/>
          <w:sz w:val="32"/>
          <w:szCs w:val="32"/>
          <w:highlight w:val="none"/>
          <w:lang w:val="en-US" w:eastAsia="zh-CN"/>
        </w:rPr>
        <w:t>新疆维吾尔自治区财政厅</w:t>
      </w:r>
      <w:r>
        <w:rPr>
          <w:rFonts w:hint="eastAsia" w:ascii="方正仿宋_GBK" w:hAnsi="方正仿宋_GBK" w:eastAsia="方正仿宋_GBK" w:cs="方正仿宋_GBK"/>
          <w:sz w:val="32"/>
          <w:szCs w:val="32"/>
          <w:highlight w:val="none"/>
          <w:lang w:val="en-US" w:eastAsia="zh-CN"/>
        </w:rPr>
        <w:t>制定引导资金相关管理政策，确定引导资金支持方向；组织项目论证评审、立项，编制资金分配方案和绩效目标；与项目承担单位签订项目任务书；组织项目过程管理、绩效评价、监督检查和验收等工作；对项目承担单位开展信用评价管理等工作，落实科研诚信管理和联合惩戒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（二）资金管理情况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1.引导资金配套管理办法或实施细则制定及执行情况。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目前，</w:t>
      </w:r>
      <w:r>
        <w:rPr>
          <w:rFonts w:hint="eastAsia" w:ascii="方正仿宋_GBK" w:hAnsi="方正仿宋_GBK" w:eastAsia="方正仿宋_GBK" w:cs="方正仿宋_GBK"/>
          <w:b w:val="0"/>
          <w:bCs w:val="0"/>
          <w:sz w:val="32"/>
          <w:szCs w:val="32"/>
          <w:highlight w:val="none"/>
          <w:lang w:val="en-US" w:eastAsia="zh-CN"/>
        </w:rPr>
        <w:t>新疆维吾尔自治区财政厅</w:t>
      </w:r>
      <w:r>
        <w:rPr>
          <w:rFonts w:hint="eastAsia" w:ascii="方正仿宋_GBK" w:hAnsi="方正仿宋_GBK" w:eastAsia="方正仿宋_GBK" w:cs="方正仿宋_GBK"/>
          <w:color w:val="auto"/>
          <w:kern w:val="2"/>
          <w:sz w:val="32"/>
          <w:szCs w:val="32"/>
          <w:highlight w:val="none"/>
          <w:lang w:val="en-US" w:eastAsia="zh-CN" w:bidi="ar-SA"/>
        </w:rPr>
        <w:t>、</w:t>
      </w:r>
      <w:r>
        <w:rPr>
          <w:rFonts w:hint="eastAsia" w:ascii="方正仿宋_GBK" w:hAnsi="方正仿宋_GBK" w:eastAsia="方正仿宋_GBK" w:cs="方正仿宋_GBK"/>
          <w:sz w:val="32"/>
          <w:szCs w:val="32"/>
          <w:highlight w:val="none"/>
          <w:lang w:val="en-US" w:eastAsia="zh-CN"/>
        </w:rPr>
        <w:t>新疆维吾尔自治区科学技术厅</w:t>
      </w:r>
      <w:r>
        <w:rPr>
          <w:rFonts w:hint="eastAsia" w:ascii="方正仿宋_GBK" w:hAnsi="方正仿宋_GBK" w:eastAsia="方正仿宋_GBK" w:cs="方正仿宋_GBK"/>
          <w:color w:val="auto"/>
          <w:kern w:val="2"/>
          <w:sz w:val="32"/>
          <w:szCs w:val="32"/>
          <w:highlight w:val="none"/>
          <w:lang w:val="en-US" w:eastAsia="zh-CN" w:bidi="ar-SA"/>
        </w:rPr>
        <w:t>未出台引导资金管理办法，现引导资金项目的立项、管理等工作依据《中央引导地方科技发展资金管理办法》（财教〔2023〕276号）、《新疆维吾尔自治区科技计划项目管理办法》（新科规〔2024〕2号）开展。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2.引导资金分配的原则及考虑因素。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（1）聚焦重点，优化资源配置，实现引导的意图。</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一是</w:t>
      </w:r>
      <w:r>
        <w:rPr>
          <w:rFonts w:hint="eastAsia" w:ascii="方正仿宋_GBK" w:hAnsi="方正仿宋_GBK" w:eastAsia="方正仿宋_GBK" w:cs="方正仿宋_GBK"/>
          <w:sz w:val="32"/>
          <w:szCs w:val="32"/>
          <w:highlight w:val="none"/>
          <w:lang w:val="en-US" w:eastAsia="zh-CN"/>
        </w:rPr>
        <w:t>聚焦中央引导地方发展的要求，贯彻落实党中央、国务院以新疆党委、政府关于科技创新的决策部署，围绕新疆优势特色产业和民生改善等重大科技需求，以科技促进产业链创新链深度融合为重点，支持一批引导资金项目，着力解决新疆最紧急、最紧迫的核心技术和“卡脖子”问题。</w:t>
      </w:r>
      <w:r>
        <w:rPr>
          <w:rFonts w:hint="eastAsia" w:ascii="方正仿宋_GBK" w:hAnsi="方正仿宋_GBK" w:eastAsia="方正仿宋_GBK" w:cs="方正仿宋_GBK"/>
          <w:b/>
          <w:bCs/>
          <w:sz w:val="32"/>
          <w:szCs w:val="32"/>
          <w:highlight w:val="none"/>
          <w:lang w:val="en-US" w:eastAsia="zh-CN"/>
        </w:rPr>
        <w:t>二是</w:t>
      </w:r>
      <w:r>
        <w:rPr>
          <w:rFonts w:hint="eastAsia" w:ascii="方正仿宋_GBK" w:hAnsi="方正仿宋_GBK" w:eastAsia="方正仿宋_GBK" w:cs="方正仿宋_GBK"/>
          <w:sz w:val="32"/>
          <w:szCs w:val="32"/>
          <w:highlight w:val="none"/>
          <w:lang w:val="en-US" w:eastAsia="zh-CN"/>
        </w:rPr>
        <w:t>聚焦引导资金使用范围。对标引导资金使用的四个方向，以优化科技创新环境，改善科研基础条件，促进科技成果转移转化，加强新疆基础研究能力为目标，安排部署一批引导资金项目。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（2）细化管理，坚持统筹兼顾、结果导向的原则，保障引导的效果。</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一是</w:t>
      </w:r>
      <w:r>
        <w:rPr>
          <w:rFonts w:hint="eastAsia" w:ascii="方正仿宋_GBK" w:hAnsi="方正仿宋_GBK" w:eastAsia="方正仿宋_GBK" w:cs="方正仿宋_GBK"/>
          <w:sz w:val="32"/>
          <w:szCs w:val="32"/>
          <w:highlight w:val="none"/>
          <w:lang w:val="en-US" w:eastAsia="zh-CN"/>
        </w:rPr>
        <w:t>规范流程。印发申报通知、制定遴选方案，规范申报和绩效管理程序，明确遴选标准和流程，并按照《新疆维吾尔自治区科技计划项目管理办法》规定，建立申报、受理、评审、立项、合同、验收、绩效全链条规范化管理。</w:t>
      </w:r>
      <w:r>
        <w:rPr>
          <w:rFonts w:hint="eastAsia" w:ascii="方正仿宋_GBK" w:hAnsi="方正仿宋_GBK" w:eastAsia="方正仿宋_GBK" w:cs="方正仿宋_GBK"/>
          <w:b/>
          <w:bCs/>
          <w:sz w:val="32"/>
          <w:szCs w:val="32"/>
          <w:highlight w:val="none"/>
          <w:lang w:val="en-US" w:eastAsia="zh-CN"/>
        </w:rPr>
        <w:t>二是</w:t>
      </w:r>
      <w:r>
        <w:rPr>
          <w:rFonts w:hint="eastAsia" w:ascii="方正仿宋_GBK" w:hAnsi="方正仿宋_GBK" w:eastAsia="方正仿宋_GBK" w:cs="方正仿宋_GBK"/>
          <w:sz w:val="32"/>
          <w:szCs w:val="32"/>
          <w:highlight w:val="none"/>
          <w:lang w:val="en-US" w:eastAsia="zh-CN"/>
        </w:rPr>
        <w:t>完善机制。建立科技和财政部门协同联动的工作机制，结合年度重点任务目标，编制引导资金实施方案，对项目实行入库管理。</w:t>
      </w:r>
      <w:r>
        <w:rPr>
          <w:rFonts w:hint="eastAsia" w:ascii="方正仿宋_GBK" w:hAnsi="方正仿宋_GBK" w:eastAsia="方正仿宋_GBK" w:cs="方正仿宋_GBK"/>
          <w:b/>
          <w:bCs/>
          <w:sz w:val="32"/>
          <w:szCs w:val="32"/>
          <w:highlight w:val="none"/>
          <w:lang w:val="en-US" w:eastAsia="zh-CN"/>
        </w:rPr>
        <w:t>三是</w:t>
      </w:r>
      <w:r>
        <w:rPr>
          <w:rFonts w:hint="eastAsia" w:ascii="方正仿宋_GBK" w:hAnsi="方正仿宋_GBK" w:eastAsia="方正仿宋_GBK" w:cs="方正仿宋_GBK"/>
          <w:sz w:val="32"/>
          <w:szCs w:val="32"/>
          <w:highlight w:val="none"/>
          <w:lang w:val="en-US" w:eastAsia="zh-CN"/>
        </w:rPr>
        <w:t>合理调配。加强地方科技发展和政策性引导作用，要求企业实施的项目自筹研发投入和引导资金比必须大于2：1，发挥了引导资金的带动作用。</w:t>
      </w:r>
      <w:r>
        <w:rPr>
          <w:rFonts w:hint="eastAsia" w:ascii="方正仿宋_GBK" w:hAnsi="方正仿宋_GBK" w:eastAsia="方正仿宋_GBK" w:cs="方正仿宋_GBK"/>
          <w:b/>
          <w:bCs/>
          <w:sz w:val="32"/>
          <w:szCs w:val="32"/>
          <w:highlight w:val="none"/>
          <w:lang w:val="en-US" w:eastAsia="zh-CN"/>
        </w:rPr>
        <w:t>四是</w:t>
      </w:r>
      <w:r>
        <w:rPr>
          <w:rFonts w:hint="eastAsia" w:ascii="方正仿宋_GBK" w:hAnsi="方正仿宋_GBK" w:eastAsia="方正仿宋_GBK" w:cs="方正仿宋_GBK"/>
          <w:sz w:val="32"/>
          <w:szCs w:val="32"/>
          <w:highlight w:val="none"/>
          <w:lang w:val="en-US" w:eastAsia="zh-CN"/>
        </w:rPr>
        <w:t>强化问效。加强绩效评价工作管理，健全评价方式方法、优化评价指标体系，将日常监管和绩效评价有机结合，提高专项资金使用绩效。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（3）坚持公开、公平、公正的原则，主动接受社会监督。</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一是</w:t>
      </w:r>
      <w:r>
        <w:rPr>
          <w:rFonts w:hint="eastAsia" w:ascii="方正仿宋_GBK" w:hAnsi="方正仿宋_GBK" w:eastAsia="方正仿宋_GBK" w:cs="方正仿宋_GBK"/>
          <w:sz w:val="32"/>
          <w:szCs w:val="32"/>
          <w:highlight w:val="none"/>
          <w:lang w:val="en-US" w:eastAsia="zh-CN"/>
        </w:rPr>
        <w:t>公开向社会发布申报通知，做到广泛征集、统一部署，项目立项严格按照指南发布、申报、受理、查重和形式审查、初评、科技计划管理委员会审议、实施方案论证、党组会审定等立项环节，保证了引导资金项目立项工作的公平性、严肃性、科学性。</w:t>
      </w:r>
      <w:r>
        <w:rPr>
          <w:rFonts w:hint="eastAsia" w:ascii="方正仿宋_GBK" w:hAnsi="方正仿宋_GBK" w:eastAsia="方正仿宋_GBK" w:cs="方正仿宋_GBK"/>
          <w:b/>
          <w:bCs/>
          <w:sz w:val="32"/>
          <w:szCs w:val="32"/>
          <w:highlight w:val="none"/>
          <w:lang w:val="en-US" w:eastAsia="zh-CN"/>
        </w:rPr>
        <w:t>二是</w:t>
      </w:r>
      <w:r>
        <w:rPr>
          <w:rFonts w:hint="eastAsia" w:ascii="方正仿宋_GBK" w:hAnsi="方正仿宋_GBK" w:eastAsia="方正仿宋_GBK" w:cs="方正仿宋_GBK"/>
          <w:sz w:val="32"/>
          <w:szCs w:val="32"/>
          <w:highlight w:val="none"/>
          <w:lang w:val="en-US" w:eastAsia="zh-CN"/>
        </w:rPr>
        <w:t>按照《中央引导地方科技发展资金管理办法》，对拟分配到企业的引导资金，通过新疆维吾尔自治区科学技术厅门户网站向社会公示，确保公示期不少于5个工作日。</w:t>
      </w:r>
      <w:r>
        <w:rPr>
          <w:rFonts w:hint="eastAsia" w:ascii="方正仿宋_GBK" w:hAnsi="方正仿宋_GBK" w:eastAsia="方正仿宋_GBK" w:cs="方正仿宋_GBK"/>
          <w:b/>
          <w:bCs/>
          <w:sz w:val="32"/>
          <w:szCs w:val="32"/>
          <w:highlight w:val="none"/>
          <w:lang w:val="en-US" w:eastAsia="zh-CN"/>
        </w:rPr>
        <w:t>三是</w:t>
      </w:r>
      <w:r>
        <w:rPr>
          <w:rFonts w:hint="eastAsia" w:ascii="方正仿宋_GBK" w:hAnsi="方正仿宋_GBK" w:eastAsia="方正仿宋_GBK" w:cs="方正仿宋_GBK"/>
          <w:sz w:val="32"/>
          <w:szCs w:val="32"/>
          <w:highlight w:val="none"/>
          <w:lang w:val="en-US" w:eastAsia="zh-CN"/>
        </w:rPr>
        <w:t>中央引导地方科技发展资金评价结果及时在新疆维吾尔自治区科学技术厅和</w:t>
      </w:r>
      <w:r>
        <w:rPr>
          <w:rFonts w:hint="eastAsia" w:ascii="方正仿宋_GBK" w:hAnsi="方正仿宋_GBK" w:eastAsia="方正仿宋_GBK" w:cs="方正仿宋_GBK"/>
          <w:b w:val="0"/>
          <w:bCs w:val="0"/>
          <w:sz w:val="32"/>
          <w:szCs w:val="32"/>
          <w:highlight w:val="none"/>
          <w:lang w:val="en-US" w:eastAsia="zh-CN"/>
        </w:rPr>
        <w:t>新疆维吾尔自治区财政厅</w:t>
      </w:r>
      <w:r>
        <w:rPr>
          <w:rFonts w:hint="eastAsia" w:ascii="方正仿宋_GBK" w:hAnsi="方正仿宋_GBK" w:eastAsia="方正仿宋_GBK" w:cs="方正仿宋_GBK"/>
          <w:sz w:val="32"/>
          <w:szCs w:val="32"/>
          <w:highlight w:val="none"/>
          <w:lang w:val="en-US" w:eastAsia="zh-CN"/>
        </w:rPr>
        <w:t>门户网站进行公示公开，广泛接受社会监督。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3.对照引导资金绩效目标开展绩效运行监控、绩效评价情况。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（1）绩效运行监控管理情况。</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一是</w:t>
      </w:r>
      <w:r>
        <w:rPr>
          <w:rFonts w:hint="eastAsia" w:ascii="方正仿宋_GBK" w:hAnsi="方正仿宋_GBK" w:eastAsia="方正仿宋_GBK" w:cs="方正仿宋_GBK"/>
          <w:sz w:val="32"/>
          <w:szCs w:val="32"/>
          <w:highlight w:val="none"/>
          <w:lang w:val="en-US" w:eastAsia="zh-CN"/>
        </w:rPr>
        <w:t>牢固树立“花钱必问效、无效必问责”的理念，建立“事前有评估、事中有监控、事后有评价”的全过程绩效评价体系，将绩效工作嵌入到项目立项、实施、验收各环节，实现全流程管理。</w:t>
      </w:r>
      <w:r>
        <w:rPr>
          <w:rFonts w:hint="eastAsia" w:ascii="方正仿宋_GBK" w:hAnsi="方正仿宋_GBK" w:eastAsia="方正仿宋_GBK" w:cs="方正仿宋_GBK"/>
          <w:b/>
          <w:bCs/>
          <w:sz w:val="32"/>
          <w:szCs w:val="32"/>
          <w:highlight w:val="none"/>
          <w:lang w:val="en-US" w:eastAsia="zh-CN"/>
        </w:rPr>
        <w:t>二是</w:t>
      </w:r>
      <w:r>
        <w:rPr>
          <w:rFonts w:hint="eastAsia" w:ascii="方正仿宋_GBK" w:hAnsi="方正仿宋_GBK" w:eastAsia="方正仿宋_GBK" w:cs="方正仿宋_GBK"/>
          <w:sz w:val="32"/>
          <w:szCs w:val="32"/>
          <w:highlight w:val="none"/>
          <w:lang w:val="en-US" w:eastAsia="zh-CN"/>
        </w:rPr>
        <w:t>要求项目承担单位切实加强绩效管理，按照财政部 科技部下达的《中央引导地方科技发展资金整体绩效目标表》科学、合理的设置项目绩效目标表。</w:t>
      </w:r>
      <w:r>
        <w:rPr>
          <w:rFonts w:hint="eastAsia" w:ascii="方正仿宋_GBK" w:hAnsi="方正仿宋_GBK" w:eastAsia="方正仿宋_GBK" w:cs="方正仿宋_GBK"/>
          <w:b/>
          <w:bCs/>
          <w:sz w:val="32"/>
          <w:szCs w:val="32"/>
          <w:highlight w:val="none"/>
          <w:lang w:val="en-US" w:eastAsia="zh-CN"/>
        </w:rPr>
        <w:t>三是</w:t>
      </w:r>
      <w:r>
        <w:rPr>
          <w:rFonts w:hint="eastAsia" w:ascii="方正仿宋_GBK" w:hAnsi="方正仿宋_GBK" w:eastAsia="方正仿宋_GBK" w:cs="方正仿宋_GBK"/>
          <w:sz w:val="32"/>
          <w:szCs w:val="32"/>
          <w:highlight w:val="none"/>
          <w:lang w:val="en-US" w:eastAsia="zh-CN"/>
        </w:rPr>
        <w:t>新疆维吾尔自治区科学技术厅对照《2025年度中央引导地方科技发展专项资金实施方案》和各项目《中央对地方专项转移支付区域（项目）绩效目标表》，在项目承担单位进行自评的基础上，会同项目主管部门对项目实施成效开展综合评议，形成《新疆中央引导地方科技发展资金项目绩效自评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（2）绩效评价情况。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经综合评议，2025年度新疆实施的137个（含新上后补助项目35个）引导资金项目，123个项目评价结果为“优”，14个项目评价结果为“良”。具体情况如下：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28个区域创新体系建设项目为“优”，“基于大田棉花广域监测技术的智能水肥决策系统技术研究和示范推广”“新疆水旱灾害防御能力提升技术研究与应用”“‘一带一路’农业科技成果转移转化创新平台建设”等3项评价为“良”；28个科技创新基地建设项目为“优”，“藏匿危险品磁探-嗅觉并行发现技术及微流控阵列鉴别方法研究”“高集成式中速永磁风电机组轴电流抑制技术研究及应用”等2个项项目评价为“良”；38个科技成果转移转化项目为“优”，“数据驱动的智慧农业水肥一体化模式研究与推广应用”“高纯度番茄红素粉剂及水溶性成分分级提取技术研发及应用”“南疆多泥沙河流水工建筑物修补与加固关键性技术研究”“优质高产耐密玉米新品种“JN28”“杰农628”转化应用”“基于大模型的科研项目数据智能分析研究和应用”等5个项目评价为“良”；29个自由探索类基础研究项目评价结果为“优”，“环境氮含量改变对中哈边境迁飞性害虫意大利蝗灾变趋势的影响”“谷子耐旱关键基因的克隆与新材料创制”“煤炭地下气化超高压高温封堵区可燃混合气体爆炸机理与规律的研究”“稠油生产与新能源耦合决策优化建模与应用研究”4个项目评价为“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（三）项目管理情况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i w:val="0"/>
          <w:iCs w:val="0"/>
          <w:sz w:val="32"/>
          <w:szCs w:val="32"/>
          <w:highlight w:val="none"/>
          <w:lang w:val="en-US" w:eastAsia="zh-CN"/>
        </w:rPr>
      </w:pPr>
      <w:r>
        <w:rPr>
          <w:rFonts w:hint="eastAsia" w:ascii="方正仿宋_GBK" w:hAnsi="方正仿宋_GBK" w:eastAsia="方正仿宋_GBK" w:cs="方正仿宋_GBK"/>
          <w:i w:val="0"/>
          <w:iCs w:val="0"/>
          <w:sz w:val="32"/>
          <w:szCs w:val="32"/>
          <w:highlight w:val="none"/>
          <w:lang w:val="en-US" w:eastAsia="zh-CN"/>
        </w:rPr>
        <w:t>1.支持重点。新疆坚持“四个面向”战略导向，积极对接全国科技发展规划，立足科技强区、人才强区、创新驱动发展战略，紧紧围绕落实国家科技创新部署重点任务，聚焦生态环境保护、生命健康、现代农业等重点领域，以科技促进产业链创新链深度融合为重点，加快最紧急、最紧迫的核心技术攻关，支持各重点产业领域延伸研发链条，聚焦探索未知的科学问题，组织实施具有前瞻性、先导性、引领性，能为解决行业领域和产业发展的关键核心技术问题提供理论支撑、破解关键科学原理、机理机制的重大应用基础研究项目；支持国家和自治区级科技创新平台，依托技术人才优势，聚焦新疆重点行业领域和产业发展方向，通过产学研深度融合，开展关键共性技术、现代工程技术等重大科研攻关；支持生物种业、新能源、新材料、石油天然气等产业领域实施的科技成果转化示范项目，支持援疆省市新技术、新成果在新疆转化应用和产业化发展；支持国家自贸区、高新技术产业开发区、农业科技园区，国家创新型县市等的创新主体，以及科技企业孵化器、众创空间、星创天地，为提升区域科技创新能力开展的科技研发活动和技术创新公共服务平台建设项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i w:val="0"/>
          <w:iCs w:val="0"/>
          <w:sz w:val="32"/>
          <w:szCs w:val="32"/>
          <w:highlight w:val="none"/>
          <w:lang w:val="en-US" w:eastAsia="zh-CN"/>
        </w:rPr>
      </w:pPr>
      <w:r>
        <w:rPr>
          <w:rFonts w:hint="eastAsia" w:ascii="方正仿宋_GBK" w:hAnsi="方正仿宋_GBK" w:eastAsia="方正仿宋_GBK" w:cs="方正仿宋_GBK"/>
          <w:i w:val="0"/>
          <w:iCs w:val="0"/>
          <w:sz w:val="32"/>
          <w:szCs w:val="32"/>
          <w:highlight w:val="none"/>
          <w:lang w:val="en-US" w:eastAsia="zh-CN"/>
        </w:rPr>
        <w:t>2.支持方式。对科研院所、高校承担的科技项目，以引导资金直接补助为主，对企业承担的科技项目，以引导资金后补助为主。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i w:val="0"/>
          <w:iCs w:val="0"/>
          <w:sz w:val="32"/>
          <w:szCs w:val="32"/>
          <w:highlight w:val="none"/>
          <w:lang w:val="en-US" w:eastAsia="zh-CN"/>
        </w:rPr>
      </w:pPr>
      <w:r>
        <w:rPr>
          <w:rFonts w:hint="eastAsia" w:ascii="方正仿宋_GBK" w:hAnsi="方正仿宋_GBK" w:eastAsia="方正仿宋_GBK" w:cs="方正仿宋_GBK"/>
          <w:i w:val="0"/>
          <w:iCs w:val="0"/>
          <w:sz w:val="32"/>
          <w:szCs w:val="32"/>
          <w:highlight w:val="none"/>
          <w:lang w:val="en-US" w:eastAsia="zh-CN"/>
        </w:rPr>
        <w:t>3.项目申报及立项情况。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i w:val="0"/>
          <w:iCs w:val="0"/>
          <w:sz w:val="32"/>
          <w:szCs w:val="32"/>
          <w:highlight w:val="none"/>
          <w:lang w:val="en-US" w:eastAsia="zh-CN"/>
        </w:rPr>
      </w:pPr>
      <w:r>
        <w:rPr>
          <w:rFonts w:hint="eastAsia" w:ascii="方正仿宋_GBK" w:hAnsi="方正仿宋_GBK" w:eastAsia="方正仿宋_GBK" w:cs="方正仿宋_GBK"/>
          <w:i w:val="0"/>
          <w:iCs w:val="0"/>
          <w:sz w:val="32"/>
          <w:szCs w:val="32"/>
          <w:highlight w:val="none"/>
          <w:lang w:val="en-US" w:eastAsia="zh-CN"/>
        </w:rPr>
        <w:t>2025年，</w:t>
      </w:r>
      <w:r>
        <w:rPr>
          <w:rFonts w:hint="eastAsia" w:ascii="方正仿宋_GBK" w:hAnsi="方正仿宋_GBK" w:eastAsia="方正仿宋_GBK" w:cs="方正仿宋_GBK"/>
          <w:sz w:val="32"/>
          <w:szCs w:val="32"/>
          <w:highlight w:val="none"/>
          <w:lang w:val="en-US" w:eastAsia="zh-CN"/>
        </w:rPr>
        <w:t>新疆维吾尔自治区科学技术厅</w:t>
      </w:r>
      <w:r>
        <w:rPr>
          <w:rFonts w:hint="eastAsia" w:ascii="方正仿宋_GBK" w:hAnsi="方正仿宋_GBK" w:eastAsia="方正仿宋_GBK" w:cs="方正仿宋_GBK"/>
          <w:i w:val="0"/>
          <w:iCs w:val="0"/>
          <w:sz w:val="32"/>
          <w:szCs w:val="32"/>
          <w:highlight w:val="none"/>
          <w:lang w:val="en-US" w:eastAsia="zh-CN"/>
        </w:rPr>
        <w:t>共组织了一轮项目申报，共计受理项目473个，最终新立项92个，其中，直接补助项目57个，后补助项目35个。具体情况如下：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i w:val="0"/>
          <w:iCs w:val="0"/>
          <w:sz w:val="32"/>
          <w:szCs w:val="32"/>
          <w:highlight w:val="none"/>
          <w:lang w:val="en-US" w:eastAsia="zh-CN"/>
        </w:rPr>
      </w:pPr>
      <w:r>
        <w:rPr>
          <w:rFonts w:hint="eastAsia" w:ascii="方正仿宋_GBK" w:hAnsi="方正仿宋_GBK" w:eastAsia="方正仿宋_GBK" w:cs="方正仿宋_GBK"/>
          <w:i w:val="0"/>
          <w:iCs w:val="0"/>
          <w:sz w:val="32"/>
          <w:szCs w:val="32"/>
          <w:highlight w:val="none"/>
          <w:lang w:val="en-US" w:eastAsia="zh-CN"/>
        </w:rPr>
        <w:t>2025年4月，</w:t>
      </w:r>
      <w:r>
        <w:rPr>
          <w:rFonts w:hint="eastAsia" w:ascii="方正仿宋_GBK" w:hAnsi="方正仿宋_GBK" w:eastAsia="方正仿宋_GBK" w:cs="方正仿宋_GBK"/>
          <w:sz w:val="32"/>
          <w:szCs w:val="32"/>
          <w:highlight w:val="none"/>
          <w:lang w:val="en-US" w:eastAsia="zh-CN"/>
        </w:rPr>
        <w:t>新疆维吾尔自治区科学技术厅</w:t>
      </w:r>
      <w:r>
        <w:rPr>
          <w:rFonts w:hint="eastAsia" w:ascii="方正仿宋_GBK" w:hAnsi="方正仿宋_GBK" w:eastAsia="方正仿宋_GBK" w:cs="方正仿宋_GBK"/>
          <w:i w:val="0"/>
          <w:iCs w:val="0"/>
          <w:sz w:val="32"/>
          <w:szCs w:val="32"/>
          <w:highlight w:val="none"/>
          <w:lang w:val="en-US" w:eastAsia="zh-CN"/>
        </w:rPr>
        <w:t>公开发布《关于申报2025年中央引导地方科技发展专项资金项目的通知》，共计受理项目473个。</w:t>
      </w:r>
      <w:r>
        <w:rPr>
          <w:rFonts w:hint="eastAsia" w:ascii="方正仿宋_GBK" w:hAnsi="方正仿宋_GBK" w:eastAsia="方正仿宋_GBK" w:cs="方正仿宋_GBK"/>
          <w:sz w:val="32"/>
          <w:szCs w:val="32"/>
          <w:highlight w:val="none"/>
          <w:lang w:val="en-US" w:eastAsia="zh-CN"/>
        </w:rPr>
        <w:t>新疆维吾尔自治区科学技术厅</w:t>
      </w:r>
      <w:r>
        <w:rPr>
          <w:rFonts w:hint="eastAsia" w:ascii="方正仿宋_GBK" w:hAnsi="方正仿宋_GBK" w:eastAsia="方正仿宋_GBK" w:cs="方正仿宋_GBK"/>
          <w:i w:val="0"/>
          <w:iCs w:val="0"/>
          <w:sz w:val="32"/>
          <w:szCs w:val="32"/>
          <w:highlight w:val="none"/>
          <w:lang w:val="en-US" w:eastAsia="zh-CN"/>
        </w:rPr>
        <w:t>按照《新疆维吾尔自治区科技计划项目管理办法》规定，对征集到的项目进行了查重和形式审查，组织专家（技术专家5名、财务专家1名）对项目分组进行评审论证，最终确定92个新立项项目和45个结转项目列入分配方案，其中35个企业承担的项目采取后补助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三、</w:t>
      </w:r>
      <w:r>
        <w:rPr>
          <w:rFonts w:hint="eastAsia" w:ascii="方正黑体_GBK" w:hAnsi="方正黑体_GBK" w:eastAsia="方正黑体_GBK" w:cs="方正黑体_GBK"/>
          <w:sz w:val="32"/>
          <w:szCs w:val="32"/>
          <w:highlight w:val="none"/>
        </w:rPr>
        <w:t>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 w:hAnsi="仿宋" w:eastAsia="仿宋" w:cs="仿宋"/>
          <w:b w:val="0"/>
          <w:bCs w:val="0"/>
          <w:sz w:val="32"/>
          <w:szCs w:val="32"/>
          <w:highlight w:val="none"/>
          <w:lang w:eastAsia="zh-CN"/>
        </w:rPr>
      </w:pPr>
      <w:r>
        <w:rPr>
          <w:rFonts w:hint="eastAsia" w:ascii="楷体" w:hAnsi="楷体" w:eastAsia="楷体" w:cs="楷体"/>
          <w:b w:val="0"/>
          <w:bCs w:val="0"/>
          <w:sz w:val="32"/>
          <w:szCs w:val="32"/>
          <w:highlight w:val="none"/>
          <w:lang w:eastAsia="zh-CN"/>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1.资金到位情况。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2025年度新疆《中央引导地方科技发展专项资金》共下达专项资金10930万元，实际拨付到位10930万元，资金拨付及时率100%，中央财政资金带动地方投入预期39685万元。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2.资金执行情况。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2025年度新疆《中央引导地方科技发展专项资金》共下达专项资金10930万元，实际拨付到位10930万元，截至2025年12月实际支出8744万元，预算执行率80%。地方资金实际投入39685万元，中央财政资金实际带动地方投入资金比例为1：2.19。</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 w:hAnsi="仿宋" w:eastAsia="仿宋" w:cs="仿宋"/>
          <w:b w:val="0"/>
          <w:bCs w:val="0"/>
          <w:sz w:val="32"/>
          <w:szCs w:val="32"/>
          <w:highlight w:val="none"/>
          <w:lang w:eastAsia="zh-CN"/>
        </w:rPr>
      </w:pPr>
      <w:r>
        <w:rPr>
          <w:rFonts w:hint="eastAsia" w:ascii="楷体" w:hAnsi="楷体" w:eastAsia="楷体" w:cs="楷体"/>
          <w:b w:val="0"/>
          <w:bCs w:val="0"/>
          <w:sz w:val="32"/>
          <w:szCs w:val="32"/>
          <w:highlight w:val="none"/>
          <w:lang w:eastAsia="zh-CN"/>
        </w:rPr>
        <w:t>（二）总体绩效目标完成情况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仿宋" w:hAnsi="仿宋" w:eastAsia="仿宋" w:cs="仿宋"/>
          <w:sz w:val="32"/>
          <w:szCs w:val="32"/>
          <w:highlight w:val="none"/>
          <w:lang w:eastAsia="zh-CN"/>
        </w:rPr>
      </w:pPr>
      <w:r>
        <w:rPr>
          <w:rFonts w:hint="eastAsia" w:ascii="方正仿宋_GBK" w:hAnsi="方正仿宋_GBK" w:eastAsia="方正仿宋_GBK" w:cs="方正仿宋_GBK"/>
          <w:b w:val="0"/>
          <w:bCs w:val="0"/>
          <w:color w:val="auto"/>
          <w:kern w:val="2"/>
          <w:sz w:val="32"/>
          <w:szCs w:val="32"/>
          <w:highlight w:val="none"/>
          <w:lang w:eastAsia="zh-CN" w:bidi="ar-SA"/>
        </w:rPr>
        <w:t>202</w:t>
      </w:r>
      <w:r>
        <w:rPr>
          <w:rFonts w:hint="eastAsia" w:ascii="方正仿宋_GBK" w:hAnsi="方正仿宋_GBK" w:eastAsia="方正仿宋_GBK" w:cs="方正仿宋_GBK"/>
          <w:b w:val="0"/>
          <w:bCs w:val="0"/>
          <w:color w:val="auto"/>
          <w:kern w:val="2"/>
          <w:sz w:val="32"/>
          <w:szCs w:val="32"/>
          <w:highlight w:val="none"/>
          <w:lang w:val="en-US" w:eastAsia="zh-CN" w:bidi="ar-SA"/>
        </w:rPr>
        <w:t>5</w:t>
      </w:r>
      <w:r>
        <w:rPr>
          <w:rFonts w:hint="eastAsia" w:ascii="方正仿宋_GBK" w:hAnsi="方正仿宋_GBK" w:eastAsia="方正仿宋_GBK" w:cs="方正仿宋_GBK"/>
          <w:b w:val="0"/>
          <w:bCs w:val="0"/>
          <w:color w:val="auto"/>
          <w:kern w:val="2"/>
          <w:sz w:val="32"/>
          <w:szCs w:val="32"/>
          <w:highlight w:val="none"/>
          <w:lang w:eastAsia="zh-CN" w:bidi="ar-SA"/>
        </w:rPr>
        <w:t>年度，新疆紧跟中央科技发展规划部署，落实国家创新驱动发展战略和科技改革发展政策，结合新疆科技工作实际，围绕自然资源高效利用、生物医药、生态环保、社会治理等重大科技需求，以科技促进产业链创新链深度融合为重点，加快关键核心技术攻关，支持区域科技创新体系建设、科技创新基地建设、科技成果转移转化、自由探索类基础研究等四个方面的项目。目前，202</w:t>
      </w:r>
      <w:r>
        <w:rPr>
          <w:rFonts w:hint="eastAsia" w:ascii="方正仿宋_GBK" w:hAnsi="方正仿宋_GBK" w:eastAsia="方正仿宋_GBK" w:cs="方正仿宋_GBK"/>
          <w:b w:val="0"/>
          <w:bCs w:val="0"/>
          <w:color w:val="auto"/>
          <w:kern w:val="2"/>
          <w:sz w:val="32"/>
          <w:szCs w:val="32"/>
          <w:highlight w:val="none"/>
          <w:lang w:val="en-US" w:eastAsia="zh-CN" w:bidi="ar-SA"/>
        </w:rPr>
        <w:t>5</w:t>
      </w:r>
      <w:r>
        <w:rPr>
          <w:rFonts w:hint="eastAsia" w:ascii="方正仿宋_GBK" w:hAnsi="方正仿宋_GBK" w:eastAsia="方正仿宋_GBK" w:cs="方正仿宋_GBK"/>
          <w:b w:val="0"/>
          <w:bCs w:val="0"/>
          <w:color w:val="auto"/>
          <w:kern w:val="2"/>
          <w:sz w:val="32"/>
          <w:szCs w:val="32"/>
          <w:highlight w:val="none"/>
          <w:lang w:eastAsia="zh-CN" w:bidi="ar-SA"/>
        </w:rPr>
        <w:t>年度中央引导地方科技发展专项项目均能按照实施方案确定的目标任务、内容、预算安排认真执行，基本完成了实施方案下达时的年度绩效目标。项目总体进展顺利，已取得了较好的经济、社会效益。</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eastAsia="zh-CN" w:bidi="ar-SA"/>
        </w:rPr>
      </w:pPr>
      <w:r>
        <w:rPr>
          <w:rFonts w:hint="eastAsia" w:ascii="楷体" w:hAnsi="楷体" w:eastAsia="楷体" w:cs="楷体"/>
          <w:b w:val="0"/>
          <w:bCs w:val="0"/>
          <w:sz w:val="32"/>
          <w:szCs w:val="32"/>
          <w:highlight w:val="none"/>
          <w:lang w:eastAsia="zh-CN"/>
        </w:rPr>
        <w:t>（三）绩效指标完成情况分析</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1.产出指标</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（1）数量指标</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a.新疆向科技部、财政部备案支持自由探索类基础研究项目数量指标值为32个，实际完成值为33个，完成率为103.13%，偏差率为3.13%。</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b.新疆向科技部、财政部备案支持建设科技创新基地项目数量指标值为18个，实际完成值为30个，完成率为166.67%，偏差率为66.67%。</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c.新疆向科技部、财政部备案转化科技成果数量指标值为65个，实际完成值为82个，完成率为126.15%，偏差率为26.15%。</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d.新疆向科技部、财政部备案支持东西部科技合作及区域协同创新项目数量指标值为41项，实际完成值为45项，完成率为109.76%，偏差率为9.76%。</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（2）时效指标</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a.新疆向科技部、财政部备案资金拨付及时率指标值为75%，实际完成值100%，完成率为1</w:t>
      </w:r>
      <w:r>
        <w:rPr>
          <w:rFonts w:hint="default" w:ascii="方正仿宋_GBK" w:hAnsi="方正仿宋_GBK" w:eastAsia="方正仿宋_GBK" w:cs="方正仿宋_GBK"/>
          <w:b w:val="0"/>
          <w:bCs w:val="0"/>
          <w:color w:val="auto"/>
          <w:kern w:val="2"/>
          <w:sz w:val="32"/>
          <w:szCs w:val="32"/>
          <w:highlight w:val="none"/>
          <w:lang w:val="en-US" w:eastAsia="zh-CN" w:bidi="ar-SA"/>
        </w:rPr>
        <w:t>00</w:t>
      </w:r>
      <w:r>
        <w:rPr>
          <w:rFonts w:hint="eastAsia" w:ascii="方正仿宋_GBK" w:hAnsi="方正仿宋_GBK" w:eastAsia="方正仿宋_GBK" w:cs="方正仿宋_GBK"/>
          <w:b w:val="0"/>
          <w:bCs w:val="0"/>
          <w:color w:val="auto"/>
          <w:kern w:val="2"/>
          <w:sz w:val="32"/>
          <w:szCs w:val="32"/>
          <w:highlight w:val="none"/>
          <w:lang w:val="en-US" w:eastAsia="zh-CN" w:bidi="ar-SA"/>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2.效益指标</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（1）经济效益指标</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a.新疆向科技部、财政部备案带动社会投入与引导资金投入比例指标值为2，实际完成值为2.19，完成率为110%，偏差率为10%。</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b.新疆向科技部、财政部备案支持高新技术企业数量指标值为42家，实际完成值为39家，完成率为92.86%，偏差率为7.14%。</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c.新疆向科技部、财政部备案支持科技型中小企业数量指标值为28家，实际完成值为27家，完成率为96.43%，偏差率为3.57%。</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d.新疆向科技部、财政部备案促进技术合同成交额值为28166万元，实际完成值为29442.78万元，完成率为104.53%，偏差率为4.53%。</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e.新疆向科技部、财政部备案带动地方投入东西科技合作及区域协同创新资金指标值为5633万元，实际完成值为5906万元，完成率为104.79%，偏差率为4.79%。</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（2）社会效益指标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a.</w:t>
      </w:r>
      <w:r>
        <w:rPr>
          <w:rFonts w:hint="eastAsia" w:ascii="方正仿宋_GBK" w:hAnsi="方正仿宋_GBK" w:eastAsia="方正仿宋_GBK" w:cs="方正仿宋_GBK"/>
          <w:color w:val="auto"/>
          <w:sz w:val="32"/>
          <w:szCs w:val="32"/>
          <w:highlight w:val="none"/>
        </w:rPr>
        <w:t>新疆向科技部、财政部备案区域科技创新能力指标值为稳步提升，实际完成值为稳步提升，完成率为100%。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b.</w:t>
      </w:r>
      <w:r>
        <w:rPr>
          <w:rFonts w:hint="eastAsia" w:ascii="方正仿宋_GBK" w:hAnsi="方正仿宋_GBK" w:eastAsia="方正仿宋_GBK" w:cs="方正仿宋_GBK"/>
          <w:color w:val="auto"/>
          <w:sz w:val="32"/>
          <w:szCs w:val="32"/>
          <w:highlight w:val="none"/>
        </w:rPr>
        <w:t>新疆向科技部、财政部备案培训从事技术创新服务人员数量指标值为</w:t>
      </w:r>
      <w:r>
        <w:rPr>
          <w:rFonts w:hint="eastAsia" w:ascii="方正仿宋_GBK" w:hAnsi="方正仿宋_GBK" w:eastAsia="方正仿宋_GBK" w:cs="方正仿宋_GBK"/>
          <w:color w:val="auto"/>
          <w:sz w:val="32"/>
          <w:szCs w:val="32"/>
          <w:highlight w:val="none"/>
          <w:lang w:val="en-US" w:eastAsia="zh-CN"/>
        </w:rPr>
        <w:t>6478</w:t>
      </w:r>
      <w:r>
        <w:rPr>
          <w:rFonts w:hint="eastAsia" w:ascii="方正仿宋_GBK" w:hAnsi="方正仿宋_GBK" w:eastAsia="方正仿宋_GBK" w:cs="方正仿宋_GBK"/>
          <w:color w:val="auto"/>
          <w:sz w:val="32"/>
          <w:szCs w:val="32"/>
          <w:highlight w:val="none"/>
        </w:rPr>
        <w:t>人次，实际完成值为</w:t>
      </w:r>
      <w:r>
        <w:rPr>
          <w:rFonts w:hint="eastAsia" w:ascii="方正仿宋_GBK" w:hAnsi="方正仿宋_GBK" w:eastAsia="方正仿宋_GBK" w:cs="方正仿宋_GBK"/>
          <w:color w:val="auto"/>
          <w:sz w:val="32"/>
          <w:szCs w:val="32"/>
          <w:highlight w:val="none"/>
          <w:lang w:val="en-US" w:eastAsia="zh-CN"/>
        </w:rPr>
        <w:t>7776</w:t>
      </w:r>
      <w:r>
        <w:rPr>
          <w:rFonts w:hint="eastAsia" w:ascii="方正仿宋_GBK" w:hAnsi="方正仿宋_GBK" w:eastAsia="方正仿宋_GBK" w:cs="方正仿宋_GBK"/>
          <w:color w:val="auto"/>
          <w:sz w:val="32"/>
          <w:szCs w:val="32"/>
          <w:highlight w:val="none"/>
        </w:rPr>
        <w:t>人次，完成率为</w:t>
      </w:r>
      <w:r>
        <w:rPr>
          <w:rFonts w:hint="eastAsia" w:ascii="方正仿宋_GBK" w:hAnsi="方正仿宋_GBK" w:eastAsia="方正仿宋_GBK" w:cs="方正仿宋_GBK"/>
          <w:color w:val="auto"/>
          <w:sz w:val="32"/>
          <w:szCs w:val="32"/>
          <w:highlight w:val="none"/>
          <w:lang w:val="en-US" w:eastAsia="zh-CN"/>
        </w:rPr>
        <w:t>120.04</w:t>
      </w:r>
      <w:r>
        <w:rPr>
          <w:rFonts w:hint="eastAsia" w:ascii="方正仿宋_GBK" w:hAnsi="方正仿宋_GBK" w:eastAsia="方正仿宋_GBK" w:cs="方正仿宋_GBK"/>
          <w:color w:val="auto"/>
          <w:sz w:val="32"/>
          <w:szCs w:val="32"/>
          <w:highlight w:val="none"/>
        </w:rPr>
        <w:t>%，偏差率为</w:t>
      </w:r>
      <w:r>
        <w:rPr>
          <w:rFonts w:hint="eastAsia" w:ascii="方正仿宋_GBK" w:hAnsi="方正仿宋_GBK" w:eastAsia="方正仿宋_GBK" w:cs="方正仿宋_GBK"/>
          <w:color w:val="auto"/>
          <w:sz w:val="32"/>
          <w:szCs w:val="32"/>
          <w:highlight w:val="none"/>
          <w:lang w:val="en-US" w:eastAsia="zh-CN"/>
        </w:rPr>
        <w:t>20.04</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c.</w:t>
      </w:r>
      <w:r>
        <w:rPr>
          <w:rFonts w:hint="eastAsia" w:ascii="方正仿宋_GBK" w:hAnsi="方正仿宋_GBK" w:eastAsia="方正仿宋_GBK" w:cs="方正仿宋_GBK"/>
          <w:color w:val="auto"/>
          <w:sz w:val="32"/>
          <w:szCs w:val="32"/>
          <w:highlight w:val="none"/>
        </w:rPr>
        <w:t>新疆向科技部、财政部备案提供技术咨询/技术服务数量指标值为</w:t>
      </w:r>
      <w:r>
        <w:rPr>
          <w:rFonts w:hint="eastAsia" w:ascii="方正仿宋_GBK" w:hAnsi="方正仿宋_GBK" w:eastAsia="方正仿宋_GBK" w:cs="方正仿宋_GBK"/>
          <w:color w:val="auto"/>
          <w:sz w:val="32"/>
          <w:szCs w:val="32"/>
          <w:highlight w:val="none"/>
          <w:lang w:val="en-US" w:eastAsia="zh-CN"/>
        </w:rPr>
        <w:t>6760</w:t>
      </w:r>
      <w:r>
        <w:rPr>
          <w:rFonts w:hint="eastAsia" w:ascii="方正仿宋_GBK" w:hAnsi="方正仿宋_GBK" w:eastAsia="方正仿宋_GBK" w:cs="方正仿宋_GBK"/>
          <w:color w:val="auto"/>
          <w:sz w:val="32"/>
          <w:szCs w:val="32"/>
          <w:highlight w:val="none"/>
        </w:rPr>
        <w:t>人次，实际完成值为</w:t>
      </w:r>
      <w:r>
        <w:rPr>
          <w:rFonts w:hint="eastAsia" w:ascii="方正仿宋_GBK" w:hAnsi="方正仿宋_GBK" w:eastAsia="方正仿宋_GBK" w:cs="方正仿宋_GBK"/>
          <w:color w:val="auto"/>
          <w:sz w:val="32"/>
          <w:szCs w:val="32"/>
          <w:highlight w:val="none"/>
          <w:lang w:val="en-US" w:eastAsia="zh-CN"/>
        </w:rPr>
        <w:t>7493</w:t>
      </w:r>
      <w:r>
        <w:rPr>
          <w:rFonts w:hint="eastAsia" w:ascii="方正仿宋_GBK" w:hAnsi="方正仿宋_GBK" w:eastAsia="方正仿宋_GBK" w:cs="方正仿宋_GBK"/>
          <w:color w:val="auto"/>
          <w:sz w:val="32"/>
          <w:szCs w:val="32"/>
          <w:highlight w:val="none"/>
        </w:rPr>
        <w:t>人次，完成率为</w:t>
      </w:r>
      <w:r>
        <w:rPr>
          <w:rFonts w:hint="eastAsia" w:ascii="方正仿宋_GBK" w:hAnsi="方正仿宋_GBK" w:eastAsia="方正仿宋_GBK" w:cs="方正仿宋_GBK"/>
          <w:color w:val="auto"/>
          <w:sz w:val="32"/>
          <w:szCs w:val="32"/>
          <w:highlight w:val="none"/>
          <w:lang w:val="en-US" w:eastAsia="zh-CN"/>
        </w:rPr>
        <w:t>110.84</w:t>
      </w:r>
      <w:r>
        <w:rPr>
          <w:rFonts w:hint="eastAsia" w:ascii="方正仿宋_GBK" w:hAnsi="方正仿宋_GBK" w:eastAsia="方正仿宋_GBK" w:cs="方正仿宋_GBK"/>
          <w:color w:val="auto"/>
          <w:sz w:val="32"/>
          <w:szCs w:val="32"/>
          <w:highlight w:val="none"/>
        </w:rPr>
        <w:t>%，偏差率为</w:t>
      </w:r>
      <w:r>
        <w:rPr>
          <w:rFonts w:hint="eastAsia" w:ascii="方正仿宋_GBK" w:hAnsi="方正仿宋_GBK" w:eastAsia="方正仿宋_GBK" w:cs="方正仿宋_GBK"/>
          <w:color w:val="auto"/>
          <w:sz w:val="32"/>
          <w:szCs w:val="32"/>
          <w:highlight w:val="none"/>
          <w:lang w:val="en-US" w:eastAsia="zh-CN"/>
        </w:rPr>
        <w:t>10.84</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d.</w:t>
      </w:r>
      <w:r>
        <w:rPr>
          <w:rFonts w:hint="eastAsia" w:ascii="方正仿宋_GBK" w:hAnsi="方正仿宋_GBK" w:eastAsia="方正仿宋_GBK" w:cs="方正仿宋_GBK"/>
          <w:color w:val="auto"/>
          <w:sz w:val="32"/>
          <w:szCs w:val="32"/>
          <w:highlight w:val="none"/>
        </w:rPr>
        <w:t>新疆向科技部、财政部备案</w:t>
      </w:r>
      <w:r>
        <w:rPr>
          <w:rFonts w:hint="eastAsia" w:ascii="方正仿宋_GBK" w:hAnsi="方正仿宋_GBK" w:eastAsia="方正仿宋_GBK" w:cs="方正仿宋_GBK"/>
          <w:color w:val="auto"/>
          <w:sz w:val="32"/>
          <w:szCs w:val="32"/>
          <w:highlight w:val="none"/>
          <w:lang w:eastAsia="zh-CN"/>
        </w:rPr>
        <w:t>科技帮扶支撑乡村振兴项目</w:t>
      </w:r>
      <w:r>
        <w:rPr>
          <w:rFonts w:hint="eastAsia" w:ascii="方正仿宋_GBK" w:hAnsi="方正仿宋_GBK" w:eastAsia="方正仿宋_GBK" w:cs="方正仿宋_GBK"/>
          <w:color w:val="auto"/>
          <w:sz w:val="32"/>
          <w:szCs w:val="32"/>
          <w:highlight w:val="none"/>
        </w:rPr>
        <w:t>数量指标值为</w:t>
      </w:r>
      <w:r>
        <w:rPr>
          <w:rFonts w:hint="eastAsia" w:ascii="方正仿宋_GBK" w:hAnsi="方正仿宋_GBK" w:eastAsia="方正仿宋_GBK" w:cs="方正仿宋_GBK"/>
          <w:color w:val="auto"/>
          <w:sz w:val="32"/>
          <w:szCs w:val="32"/>
          <w:highlight w:val="none"/>
          <w:lang w:val="en-US" w:eastAsia="zh-CN"/>
        </w:rPr>
        <w:t>11项</w:t>
      </w:r>
      <w:r>
        <w:rPr>
          <w:rFonts w:hint="eastAsia" w:ascii="方正仿宋_GBK" w:hAnsi="方正仿宋_GBK" w:eastAsia="方正仿宋_GBK" w:cs="方正仿宋_GBK"/>
          <w:color w:val="auto"/>
          <w:sz w:val="32"/>
          <w:szCs w:val="32"/>
          <w:highlight w:val="none"/>
        </w:rPr>
        <w:t>，实际完成值为</w:t>
      </w:r>
      <w:r>
        <w:rPr>
          <w:rFonts w:hint="eastAsia" w:ascii="方正仿宋_GBK" w:hAnsi="方正仿宋_GBK" w:eastAsia="方正仿宋_GBK" w:cs="方正仿宋_GBK"/>
          <w:color w:val="auto"/>
          <w:sz w:val="32"/>
          <w:szCs w:val="32"/>
          <w:highlight w:val="none"/>
          <w:lang w:val="en-US" w:eastAsia="zh-CN"/>
        </w:rPr>
        <w:t>11项</w:t>
      </w:r>
      <w:r>
        <w:rPr>
          <w:rFonts w:hint="eastAsia" w:ascii="方正仿宋_GBK" w:hAnsi="方正仿宋_GBK" w:eastAsia="方正仿宋_GBK" w:cs="方正仿宋_GBK"/>
          <w:color w:val="auto"/>
          <w:sz w:val="32"/>
          <w:szCs w:val="32"/>
          <w:highlight w:val="none"/>
        </w:rPr>
        <w:t>，完成率为</w:t>
      </w:r>
      <w:r>
        <w:rPr>
          <w:rFonts w:hint="eastAsia" w:ascii="方正仿宋_GBK" w:hAnsi="方正仿宋_GBK" w:eastAsia="方正仿宋_GBK" w:cs="方正仿宋_GBK"/>
          <w:color w:val="auto"/>
          <w:sz w:val="32"/>
          <w:szCs w:val="32"/>
          <w:highlight w:val="none"/>
          <w:lang w:val="en-US" w:eastAsia="zh-CN"/>
        </w:rPr>
        <w:t>100</w:t>
      </w:r>
      <w:r>
        <w:rPr>
          <w:rFonts w:hint="eastAsia" w:ascii="方正仿宋_GBK" w:hAnsi="方正仿宋_GBK" w:eastAsia="方正仿宋_GBK" w:cs="方正仿宋_GBK"/>
          <w:color w:val="auto"/>
          <w:sz w:val="32"/>
          <w:szCs w:val="32"/>
          <w:highlight w:val="none"/>
        </w:rPr>
        <w:t>%，偏差率为</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e</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新疆向科技部、财政部备案培训技术经纪人数量指标值为</w:t>
      </w:r>
      <w:r>
        <w:rPr>
          <w:rFonts w:hint="eastAsia" w:ascii="方正仿宋_GBK" w:hAnsi="方正仿宋_GBK" w:eastAsia="方正仿宋_GBK" w:cs="方正仿宋_GBK"/>
          <w:color w:val="auto"/>
          <w:sz w:val="32"/>
          <w:szCs w:val="32"/>
          <w:highlight w:val="none"/>
          <w:lang w:val="en-US" w:eastAsia="zh-CN"/>
        </w:rPr>
        <w:t>155</w:t>
      </w:r>
      <w:r>
        <w:rPr>
          <w:rFonts w:hint="eastAsia" w:ascii="方正仿宋_GBK" w:hAnsi="方正仿宋_GBK" w:eastAsia="方正仿宋_GBK" w:cs="方正仿宋_GBK"/>
          <w:color w:val="auto"/>
          <w:sz w:val="32"/>
          <w:szCs w:val="32"/>
          <w:highlight w:val="none"/>
        </w:rPr>
        <w:t>人次，实际完成值为</w:t>
      </w:r>
      <w:r>
        <w:rPr>
          <w:rFonts w:hint="eastAsia" w:ascii="方正仿宋_GBK" w:hAnsi="方正仿宋_GBK" w:eastAsia="方正仿宋_GBK" w:cs="方正仿宋_GBK"/>
          <w:color w:val="auto"/>
          <w:sz w:val="32"/>
          <w:szCs w:val="32"/>
          <w:highlight w:val="none"/>
          <w:lang w:val="en-US" w:eastAsia="zh-CN"/>
        </w:rPr>
        <w:t>192</w:t>
      </w:r>
      <w:r>
        <w:rPr>
          <w:rFonts w:hint="eastAsia" w:ascii="方正仿宋_GBK" w:hAnsi="方正仿宋_GBK" w:eastAsia="方正仿宋_GBK" w:cs="方正仿宋_GBK"/>
          <w:color w:val="auto"/>
          <w:sz w:val="32"/>
          <w:szCs w:val="32"/>
          <w:highlight w:val="none"/>
        </w:rPr>
        <w:t>人次，完成率为</w:t>
      </w:r>
      <w:r>
        <w:rPr>
          <w:rFonts w:hint="eastAsia" w:ascii="方正仿宋_GBK" w:hAnsi="方正仿宋_GBK" w:eastAsia="方正仿宋_GBK" w:cs="方正仿宋_GBK"/>
          <w:color w:val="auto"/>
          <w:sz w:val="32"/>
          <w:szCs w:val="32"/>
          <w:highlight w:val="none"/>
          <w:lang w:val="en-US" w:eastAsia="zh-CN"/>
        </w:rPr>
        <w:t>123.87</w:t>
      </w:r>
      <w:r>
        <w:rPr>
          <w:rFonts w:hint="eastAsia" w:ascii="方正仿宋_GBK" w:hAnsi="方正仿宋_GBK" w:eastAsia="方正仿宋_GBK" w:cs="方正仿宋_GBK"/>
          <w:color w:val="auto"/>
          <w:sz w:val="32"/>
          <w:szCs w:val="32"/>
          <w:highlight w:val="none"/>
        </w:rPr>
        <w:t>%，偏差率为</w:t>
      </w:r>
      <w:r>
        <w:rPr>
          <w:rFonts w:hint="eastAsia" w:ascii="方正仿宋_GBK" w:hAnsi="方正仿宋_GBK" w:eastAsia="方正仿宋_GBK" w:cs="方正仿宋_GBK"/>
          <w:color w:val="auto"/>
          <w:sz w:val="32"/>
          <w:szCs w:val="32"/>
          <w:highlight w:val="none"/>
          <w:lang w:val="en-US" w:eastAsia="zh-CN"/>
        </w:rPr>
        <w:t>23.87</w:t>
      </w:r>
      <w:r>
        <w:rPr>
          <w:rFonts w:hint="eastAsia" w:ascii="方正仿宋_GBK" w:hAnsi="方正仿宋_GBK" w:eastAsia="方正仿宋_GBK" w:cs="方正仿宋_GBK"/>
          <w:color w:val="auto"/>
          <w:sz w:val="32"/>
          <w:szCs w:val="32"/>
          <w:highlight w:val="none"/>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rPr>
          <w:rFonts w:hint="eastAsia" w:ascii="方正仿宋_GBK" w:hAnsi="方正仿宋_GBK" w:eastAsia="方正仿宋_GBK" w:cs="方正仿宋_GBK"/>
          <w:b w:val="0"/>
          <w:bCs w:val="0"/>
          <w:color w:val="auto"/>
          <w:kern w:val="2"/>
          <w:sz w:val="32"/>
          <w:szCs w:val="32"/>
          <w:highlight w:val="none"/>
          <w:lang w:val="en-US" w:eastAsia="zh-CN" w:bidi="ar-SA"/>
        </w:rPr>
      </w:pPr>
      <w:r>
        <w:rPr>
          <w:rFonts w:hint="eastAsia" w:ascii="方正仿宋_GBK" w:hAnsi="方正仿宋_GBK" w:eastAsia="方正仿宋_GBK" w:cs="方正仿宋_GBK"/>
          <w:b w:val="0"/>
          <w:bCs w:val="0"/>
          <w:color w:val="auto"/>
          <w:kern w:val="2"/>
          <w:sz w:val="32"/>
          <w:szCs w:val="32"/>
          <w:highlight w:val="none"/>
          <w:lang w:val="en-US" w:eastAsia="zh-CN" w:bidi="ar-SA"/>
        </w:rPr>
        <w:t>3.满意度指标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a.</w:t>
      </w:r>
      <w:r>
        <w:rPr>
          <w:rFonts w:hint="eastAsia" w:ascii="方正仿宋_GBK" w:hAnsi="方正仿宋_GBK" w:eastAsia="方正仿宋_GBK" w:cs="方正仿宋_GBK"/>
          <w:color w:val="auto"/>
          <w:sz w:val="32"/>
          <w:szCs w:val="32"/>
          <w:highlight w:val="none"/>
        </w:rPr>
        <w:t>新疆向科技部、财政部备案被服务对象满意度指标值为大于等于9</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%，实际完成值为9</w:t>
      </w:r>
      <w:r>
        <w:rPr>
          <w:rFonts w:hint="eastAsia" w:ascii="方正仿宋_GBK" w:hAnsi="方正仿宋_GBK"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rPr>
        <w:t>%，完成率为10</w:t>
      </w:r>
      <w:r>
        <w:rPr>
          <w:rFonts w:hint="eastAsia" w:ascii="方正仿宋_GBK" w:hAnsi="方正仿宋_GBK" w:eastAsia="方正仿宋_GBK" w:cs="方正仿宋_GBK"/>
          <w:color w:val="auto"/>
          <w:sz w:val="32"/>
          <w:szCs w:val="32"/>
          <w:highlight w:val="none"/>
          <w:lang w:val="en-US" w:eastAsia="zh-CN"/>
        </w:rPr>
        <w:t>8.89</w:t>
      </w:r>
      <w:r>
        <w:rPr>
          <w:rFonts w:hint="eastAsia" w:ascii="方正仿宋_GBK" w:hAnsi="方正仿宋_GBK" w:eastAsia="方正仿宋_GBK" w:cs="方正仿宋_GBK"/>
          <w:color w:val="auto"/>
          <w:sz w:val="32"/>
          <w:szCs w:val="32"/>
          <w:highlight w:val="none"/>
        </w:rPr>
        <w:t>%，偏差率为</w:t>
      </w:r>
      <w:r>
        <w:rPr>
          <w:rFonts w:hint="eastAsia" w:ascii="方正仿宋_GBK" w:hAnsi="方正仿宋_GBK" w:eastAsia="方正仿宋_GBK" w:cs="方正仿宋_GBK"/>
          <w:color w:val="auto"/>
          <w:sz w:val="32"/>
          <w:szCs w:val="32"/>
          <w:highlight w:val="none"/>
          <w:lang w:val="en-US" w:eastAsia="zh-CN"/>
        </w:rPr>
        <w:t>8.89</w:t>
      </w:r>
      <w:r>
        <w:rPr>
          <w:rFonts w:hint="eastAsia" w:ascii="方正仿宋_GBK" w:hAnsi="方正仿宋_GBK" w:eastAsia="方正仿宋_GBK" w:cs="方正仿宋_GBK"/>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、偏离绩效目标的原因和下一步改进措施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 w:hAnsi="仿宋" w:eastAsia="仿宋" w:cs="仿宋"/>
          <w:b w:val="0"/>
          <w:bCs w:val="0"/>
          <w:sz w:val="32"/>
          <w:szCs w:val="32"/>
          <w:highlight w:val="none"/>
          <w:lang w:eastAsia="zh-CN"/>
        </w:rPr>
      </w:pPr>
      <w:r>
        <w:rPr>
          <w:rFonts w:hint="eastAsia" w:ascii="楷体" w:hAnsi="楷体" w:eastAsia="楷体" w:cs="楷体"/>
          <w:b w:val="0"/>
          <w:bCs w:val="0"/>
          <w:sz w:val="32"/>
          <w:szCs w:val="32"/>
          <w:highlight w:val="none"/>
          <w:lang w:eastAsia="zh-CN"/>
        </w:rPr>
        <w:t>（一）总体目标和绩效指标未完成或超过指标值较多的原因分析，下一步改进措施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lang w:eastAsia="zh-CN"/>
        </w:rPr>
        <w:t>1.未完成数量指标完成率超30%。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2.完成率超出30%及以上指标。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lang w:val="en-US" w:eastAsia="zh-CN"/>
        </w:rPr>
      </w:pPr>
      <w:r>
        <w:rPr>
          <w:rFonts w:hint="eastAsia" w:ascii="方正仿宋_GBK" w:hAnsi="方正仿宋_GBK" w:eastAsia="方正仿宋_GBK" w:cs="方正仿宋_GBK"/>
          <w:color w:val="auto"/>
          <w:sz w:val="32"/>
          <w:szCs w:val="32"/>
          <w:highlight w:val="none"/>
          <w:lang w:val="en-US" w:eastAsia="zh-CN"/>
        </w:rPr>
        <w:t>支持建设科技创新基地项目数量指标，指标值为18个，新疆实际完成值为30个，完成率为166.67%，偏差率为66.67%。偏差原因：近两年，根据自治区党委、政府部署，</w:t>
      </w:r>
      <w:r>
        <w:rPr>
          <w:rFonts w:hint="eastAsia" w:ascii="方正仿宋_GBK" w:hAnsi="方正仿宋_GBK" w:eastAsia="方正仿宋_GBK" w:cs="方正仿宋_GBK"/>
          <w:sz w:val="32"/>
          <w:szCs w:val="32"/>
          <w:highlight w:val="none"/>
          <w:lang w:val="en-US" w:eastAsia="zh-CN"/>
        </w:rPr>
        <w:t>新疆维吾尔自治区科学技术厅</w:t>
      </w:r>
      <w:r>
        <w:rPr>
          <w:rFonts w:hint="eastAsia" w:ascii="方正仿宋_GBK" w:hAnsi="方正仿宋_GBK" w:eastAsia="方正仿宋_GBK" w:cs="方正仿宋_GBK"/>
          <w:color w:val="auto"/>
          <w:sz w:val="32"/>
          <w:szCs w:val="32"/>
          <w:highlight w:val="none"/>
          <w:lang w:val="en-US" w:eastAsia="zh-CN"/>
        </w:rPr>
        <w:t>持续加强高能级创新平台建设，组建了一批新疆实验室，自治区重点实验室、临床医学研究中心、自治区工程技术研究中心等科技创新平台，有效支撑了新疆科技创新基地建设。在引导资金中加大了对科技创新基地建设支持力度，科技创新基地项目立项数大幅增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eastAsia="zh-CN"/>
        </w:rPr>
      </w:pPr>
      <w:r>
        <w:rPr>
          <w:rFonts w:hint="default" w:ascii="方正仿宋_GBK" w:hAnsi="方正仿宋_GBK" w:eastAsia="方正仿宋_GBK" w:cs="方正仿宋_GBK"/>
          <w:b w:val="0"/>
          <w:bCs w:val="0"/>
          <w:color w:val="auto"/>
          <w:sz w:val="32"/>
          <w:szCs w:val="32"/>
          <w:highlight w:val="none"/>
          <w:lang w:val="en-US" w:eastAsia="zh-CN"/>
        </w:rPr>
        <w:t>3.</w:t>
      </w:r>
      <w:r>
        <w:rPr>
          <w:rFonts w:hint="eastAsia" w:ascii="方正仿宋_GBK" w:hAnsi="方正仿宋_GBK" w:eastAsia="方正仿宋_GBK" w:cs="方正仿宋_GBK"/>
          <w:b w:val="0"/>
          <w:bCs w:val="0"/>
          <w:color w:val="auto"/>
          <w:sz w:val="32"/>
          <w:szCs w:val="32"/>
          <w:highlight w:val="none"/>
          <w:lang w:eastAsia="zh-CN"/>
        </w:rPr>
        <w:t>下一步改进措施。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color w:val="auto"/>
          <w:highlight w:val="none"/>
          <w:lang w:val="en-US"/>
        </w:rPr>
      </w:pPr>
      <w:r>
        <w:rPr>
          <w:rFonts w:hint="eastAsia" w:ascii="方正仿宋_GBK" w:hAnsi="方正仿宋_GBK" w:eastAsia="方正仿宋_GBK" w:cs="方正仿宋_GBK"/>
          <w:color w:val="auto"/>
          <w:sz w:val="32"/>
          <w:szCs w:val="32"/>
          <w:highlight w:val="none"/>
          <w:lang w:eastAsia="zh-CN"/>
        </w:rPr>
        <w:t>（1）合理设置绩效指标数值。</w:t>
      </w:r>
      <w:r>
        <w:rPr>
          <w:rFonts w:hint="eastAsia" w:ascii="方正仿宋_GBK" w:hAnsi="方正仿宋_GBK" w:eastAsia="方正仿宋_GBK" w:cs="方正仿宋_GBK"/>
          <w:color w:val="auto"/>
          <w:sz w:val="32"/>
          <w:szCs w:val="32"/>
          <w:highlight w:val="none"/>
          <w:lang w:val="en-US" w:eastAsia="zh-CN"/>
        </w:rPr>
        <w:t>一是做好引导资金项目储备库建设，根据项目情况合理设置绩效目标表。二是</w:t>
      </w:r>
      <w:r>
        <w:rPr>
          <w:rFonts w:hint="eastAsia" w:ascii="方正仿宋_GBK" w:hAnsi="方正仿宋_GBK" w:eastAsia="方正仿宋_GBK" w:cs="方正仿宋_GBK"/>
          <w:color w:val="auto"/>
          <w:kern w:val="2"/>
          <w:sz w:val="32"/>
          <w:szCs w:val="32"/>
          <w:highlight w:val="none"/>
          <w:lang w:val="en-US" w:eastAsia="zh-CN" w:bidi="ar-SA"/>
        </w:rPr>
        <w:t>牢固树立“花钱必问效、无效必问责”的理念，建立“事前有评估、事中有监控、事后有评价”的全过程绩效评价体系，将绩效工作嵌入到项目立项、实施、验收各环节，实现全流程管理。</w:t>
      </w:r>
      <w:r>
        <w:rPr>
          <w:rFonts w:hint="eastAsia" w:ascii="方正仿宋_GBK" w:hAnsi="方正仿宋_GBK" w:eastAsia="方正仿宋_GBK" w:cs="方正仿宋_GBK"/>
          <w:color w:val="auto"/>
          <w:sz w:val="32"/>
          <w:szCs w:val="32"/>
          <w:highlight w:val="none"/>
          <w:lang w:val="en-US" w:eastAsia="zh-CN"/>
        </w:rPr>
        <w:t>三是</w:t>
      </w:r>
      <w:r>
        <w:rPr>
          <w:rFonts w:hint="eastAsia" w:ascii="方正仿宋_GBK" w:hAnsi="方正仿宋_GBK" w:eastAsia="方正仿宋_GBK" w:cs="方正仿宋_GBK"/>
          <w:color w:val="auto"/>
          <w:kern w:val="2"/>
          <w:sz w:val="32"/>
          <w:szCs w:val="32"/>
          <w:highlight w:val="none"/>
          <w:lang w:val="en-US" w:eastAsia="zh-CN" w:bidi="ar-SA"/>
        </w:rPr>
        <w:t>加强对项目的监督检查力度，做牢做实项目年度自评、中期检查、随机抽查，有效提高项目实施成效，确保项目资金使用合理、合规，对资金执行采用季度调度机制，加快资金执行进度。四是要求项目承担单位切实加强绩效管理，引导科研资源向优秀人才和团队倾斜，提高科研经费使用效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楷体" w:hAnsi="楷体" w:eastAsia="楷体" w:cs="楷体"/>
          <w:b/>
          <w:bCs/>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（2）</w:t>
      </w:r>
      <w:r>
        <w:rPr>
          <w:rFonts w:hint="eastAsia" w:ascii="Times New Roman" w:hAnsi="Times New Roman" w:eastAsia="方正仿宋_GBK" w:cs="Times New Roman"/>
          <w:sz w:val="32"/>
          <w:szCs w:val="32"/>
          <w:highlight w:val="none"/>
          <w:lang w:eastAsia="zh-CN"/>
        </w:rPr>
        <w:t>全面落实</w:t>
      </w:r>
      <w:r>
        <w:rPr>
          <w:rFonts w:hint="default" w:ascii="Times New Roman" w:hAnsi="Times New Roman" w:eastAsia="方正仿宋_GBK" w:cs="Times New Roman"/>
          <w:sz w:val="32"/>
          <w:szCs w:val="32"/>
          <w:highlight w:val="none"/>
        </w:rPr>
        <w:t>自筹资金</w:t>
      </w:r>
      <w:r>
        <w:rPr>
          <w:rFonts w:ascii="Times New Roman" w:hAnsi="Times New Roman" w:eastAsia="方正仿宋_GBK" w:cs="Times New Roman"/>
          <w:sz w:val="32"/>
          <w:szCs w:val="32"/>
          <w:highlight w:val="none"/>
        </w:rPr>
        <w:t>。下一步，引导</w:t>
      </w:r>
      <w:r>
        <w:rPr>
          <w:rFonts w:hint="default" w:ascii="Times New Roman" w:hAnsi="Times New Roman" w:eastAsia="方正仿宋_GBK" w:cs="Times New Roman"/>
          <w:sz w:val="32"/>
          <w:szCs w:val="32"/>
          <w:highlight w:val="none"/>
        </w:rPr>
        <w:t>相关单位</w:t>
      </w:r>
      <w:r>
        <w:rPr>
          <w:rFonts w:ascii="Times New Roman" w:hAnsi="Times New Roman" w:eastAsia="方正仿宋_GBK" w:cs="Times New Roman"/>
          <w:sz w:val="32"/>
          <w:szCs w:val="32"/>
          <w:highlight w:val="none"/>
        </w:rPr>
        <w:t>充分利用中央和</w:t>
      </w:r>
      <w:r>
        <w:rPr>
          <w:rFonts w:hint="default" w:ascii="Times New Roman" w:hAnsi="Times New Roman" w:eastAsia="方正仿宋_GBK" w:cs="Times New Roman"/>
          <w:sz w:val="32"/>
          <w:szCs w:val="32"/>
          <w:highlight w:val="none"/>
        </w:rPr>
        <w:t>新疆</w:t>
      </w:r>
      <w:r>
        <w:rPr>
          <w:rFonts w:ascii="Times New Roman" w:hAnsi="Times New Roman" w:eastAsia="方正仿宋_GBK" w:cs="Times New Roman"/>
          <w:sz w:val="32"/>
          <w:szCs w:val="32"/>
          <w:highlight w:val="none"/>
        </w:rPr>
        <w:t>出台的有利政策，做到会用钱、用好钱，防止</w:t>
      </w:r>
      <w:r>
        <w:rPr>
          <w:rFonts w:hint="default" w:ascii="Times New Roman" w:hAnsi="Times New Roman" w:eastAsia="方正仿宋_GBK" w:cs="Times New Roman"/>
          <w:sz w:val="32"/>
          <w:szCs w:val="32"/>
          <w:highlight w:val="none"/>
        </w:rPr>
        <w:t>财政资金滞留闲置。压实</w:t>
      </w:r>
      <w:r>
        <w:rPr>
          <w:rFonts w:ascii="Times New Roman" w:hAnsi="Times New Roman" w:eastAsia="方正仿宋_GBK" w:cs="Times New Roman"/>
          <w:sz w:val="32"/>
          <w:szCs w:val="32"/>
          <w:highlight w:val="none"/>
        </w:rPr>
        <w:t>项目承担单位</w:t>
      </w:r>
      <w:r>
        <w:rPr>
          <w:rFonts w:hint="default" w:ascii="Times New Roman" w:hAnsi="Times New Roman" w:eastAsia="方正仿宋_GBK" w:cs="Times New Roman"/>
          <w:sz w:val="32"/>
          <w:szCs w:val="32"/>
          <w:highlight w:val="none"/>
        </w:rPr>
        <w:t>主体责任，牢固树立</w:t>
      </w:r>
      <w:r>
        <w:rPr>
          <w:rFonts w:hint="eastAsia" w:ascii="方正仿宋_GBK" w:hAnsi="方正仿宋_GBK" w:eastAsia="方正仿宋_GBK" w:cs="方正仿宋_GBK"/>
          <w:color w:val="auto"/>
          <w:sz w:val="32"/>
          <w:szCs w:val="32"/>
          <w:highlight w:val="none"/>
          <w:lang w:val="en-US" w:eastAsia="zh-CN"/>
        </w:rPr>
        <w:t>过“紧日子”的思想</w:t>
      </w:r>
      <w:r>
        <w:rPr>
          <w:rFonts w:hint="default" w:ascii="Times New Roman" w:hAnsi="Times New Roman" w:eastAsia="方正仿宋_GBK" w:cs="Times New Roman"/>
          <w:sz w:val="32"/>
          <w:szCs w:val="32"/>
          <w:highlight w:val="none"/>
        </w:rPr>
        <w:t>，建立健全内部控制制度，压减无效低效开支，严格控制一般性支出。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楷体" w:hAnsi="楷体" w:eastAsia="楷体" w:cs="楷体"/>
          <w:b w:val="0"/>
          <w:bCs w:val="0"/>
          <w:sz w:val="32"/>
          <w:szCs w:val="32"/>
          <w:highlight w:val="none"/>
          <w:lang w:eastAsia="zh-CN"/>
        </w:rPr>
      </w:pPr>
      <w:r>
        <w:rPr>
          <w:rFonts w:hint="eastAsia" w:ascii="楷体" w:hAnsi="楷体" w:eastAsia="楷体" w:cs="楷体"/>
          <w:b w:val="0"/>
          <w:bCs w:val="0"/>
          <w:sz w:val="32"/>
          <w:szCs w:val="32"/>
          <w:highlight w:val="none"/>
          <w:lang w:eastAsia="zh-CN"/>
        </w:rPr>
        <w:t>（二）政策执行或项目实施中存在的问题、原因分析和改进措施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2025年部分单位因政府采购周期较长，资金执行率较低。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黑体" w:hAnsi="黑体" w:eastAsia="黑体" w:cs="黑体"/>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在今后的工作中，</w:t>
      </w:r>
      <w:r>
        <w:rPr>
          <w:rFonts w:hint="eastAsia" w:ascii="方正仿宋_GBK" w:hAnsi="方正仿宋_GBK" w:eastAsia="方正仿宋_GBK" w:cs="方正仿宋_GBK"/>
          <w:b/>
          <w:bCs/>
          <w:color w:val="auto"/>
          <w:sz w:val="32"/>
          <w:szCs w:val="32"/>
          <w:highlight w:val="none"/>
          <w:lang w:val="en-US" w:eastAsia="zh-CN"/>
        </w:rPr>
        <w:t>一是</w:t>
      </w:r>
      <w:r>
        <w:rPr>
          <w:rFonts w:hint="eastAsia" w:ascii="方正仿宋_GBK" w:hAnsi="方正仿宋_GBK" w:eastAsia="方正仿宋_GBK" w:cs="方正仿宋_GBK"/>
          <w:color w:val="auto"/>
          <w:sz w:val="32"/>
          <w:szCs w:val="32"/>
          <w:highlight w:val="none"/>
          <w:lang w:val="en-US" w:eastAsia="zh-CN"/>
        </w:rPr>
        <w:t>加强项目的监督检查力度，向执行滞后的项目承担单位发函，严格按照《中央引导地方科技发展资金管理办法》相关规定，要求细化预算执行，提高引导资金及其他资金的执行率。</w:t>
      </w:r>
      <w:r>
        <w:rPr>
          <w:rFonts w:hint="eastAsia" w:ascii="方正仿宋_GBK" w:hAnsi="方正仿宋_GBK" w:eastAsia="方正仿宋_GBK" w:cs="方正仿宋_GBK"/>
          <w:b/>
          <w:bCs/>
          <w:color w:val="auto"/>
          <w:sz w:val="32"/>
          <w:szCs w:val="32"/>
          <w:highlight w:val="none"/>
          <w:lang w:val="en-US" w:eastAsia="zh-CN"/>
        </w:rPr>
        <w:t>二是</w:t>
      </w:r>
      <w:r>
        <w:rPr>
          <w:rFonts w:hint="eastAsia" w:ascii="方正仿宋_GBK" w:hAnsi="方正仿宋_GBK" w:eastAsia="方正仿宋_GBK" w:cs="方正仿宋_GBK"/>
          <w:color w:val="auto"/>
          <w:sz w:val="32"/>
          <w:szCs w:val="32"/>
          <w:highlight w:val="none"/>
          <w:lang w:val="en-US" w:eastAsia="zh-CN"/>
        </w:rPr>
        <w:t>在下一年度引导资金项目中合理设置绩效目标。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、绩效自评结果拟应用和公开情况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lang w:eastAsia="zh-CN"/>
        </w:rPr>
        <w:t>（一）拟应用情况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eastAsia="zh-CN"/>
        </w:rPr>
        <w:t>1.按照财政部《项目支出绩效评价管理办法》（财预〔2020〕10号）规定，单位自评标准是：预算执行10分、产出指标50分、效益指标30分、服务对象满意度指标10分。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eastAsia="zh-CN"/>
        </w:rPr>
        <w:t>经自评，202</w:t>
      </w:r>
      <w:r>
        <w:rPr>
          <w:rFonts w:hint="eastAsia" w:ascii="方正仿宋_GBK" w:hAnsi="方正仿宋_GBK" w:eastAsia="方正仿宋_GBK" w:cs="方正仿宋_GBK"/>
          <w:b w:val="0"/>
          <w:bCs w:val="0"/>
          <w:sz w:val="32"/>
          <w:szCs w:val="32"/>
          <w:highlight w:val="none"/>
          <w:lang w:val="en-US" w:eastAsia="zh-CN"/>
        </w:rPr>
        <w:t>5</w:t>
      </w:r>
      <w:r>
        <w:rPr>
          <w:rFonts w:hint="eastAsia" w:ascii="方正仿宋_GBK" w:hAnsi="方正仿宋_GBK" w:eastAsia="方正仿宋_GBK" w:cs="方正仿宋_GBK"/>
          <w:b w:val="0"/>
          <w:bCs w:val="0"/>
          <w:sz w:val="32"/>
          <w:szCs w:val="32"/>
          <w:highlight w:val="none"/>
          <w:lang w:eastAsia="zh-CN"/>
        </w:rPr>
        <w:t>年度中央引导地方科技发展资金绩效自评价得分为9</w:t>
      </w:r>
      <w:r>
        <w:rPr>
          <w:rFonts w:hint="eastAsia" w:ascii="方正仿宋_GBK" w:hAnsi="方正仿宋_GBK" w:eastAsia="方正仿宋_GBK" w:cs="方正仿宋_GBK"/>
          <w:b w:val="0"/>
          <w:bCs w:val="0"/>
          <w:sz w:val="32"/>
          <w:szCs w:val="32"/>
          <w:highlight w:val="none"/>
          <w:lang w:val="en-US" w:eastAsia="zh-CN"/>
        </w:rPr>
        <w:t>6</w:t>
      </w:r>
      <w:r>
        <w:rPr>
          <w:rFonts w:hint="eastAsia" w:ascii="方正仿宋_GBK" w:hAnsi="方正仿宋_GBK" w:eastAsia="方正仿宋_GBK" w:cs="方正仿宋_GBK"/>
          <w:b w:val="0"/>
          <w:bCs w:val="0"/>
          <w:sz w:val="32"/>
          <w:szCs w:val="32"/>
          <w:highlight w:val="none"/>
          <w:lang w:eastAsia="zh-CN"/>
        </w:rPr>
        <w:t>分，其中：预算执行</w:t>
      </w:r>
      <w:r>
        <w:rPr>
          <w:rFonts w:hint="eastAsia" w:ascii="方正仿宋_GBK" w:hAnsi="方正仿宋_GBK" w:eastAsia="方正仿宋_GBK" w:cs="方正仿宋_GBK"/>
          <w:b w:val="0"/>
          <w:bCs w:val="0"/>
          <w:sz w:val="32"/>
          <w:szCs w:val="32"/>
          <w:highlight w:val="none"/>
          <w:lang w:val="en-US" w:eastAsia="zh-CN"/>
        </w:rPr>
        <w:t>8</w:t>
      </w:r>
      <w:r>
        <w:rPr>
          <w:rFonts w:hint="eastAsia" w:ascii="方正仿宋_GBK" w:hAnsi="方正仿宋_GBK" w:eastAsia="方正仿宋_GBK" w:cs="方正仿宋_GBK"/>
          <w:b w:val="0"/>
          <w:bCs w:val="0"/>
          <w:sz w:val="32"/>
          <w:szCs w:val="32"/>
          <w:highlight w:val="none"/>
          <w:lang w:eastAsia="zh-CN"/>
        </w:rPr>
        <w:t>分、产出指标</w:t>
      </w:r>
      <w:r>
        <w:rPr>
          <w:rFonts w:hint="eastAsia" w:ascii="方正仿宋_GBK" w:hAnsi="方正仿宋_GBK" w:eastAsia="方正仿宋_GBK" w:cs="方正仿宋_GBK"/>
          <w:b w:val="0"/>
          <w:bCs w:val="0"/>
          <w:sz w:val="32"/>
          <w:szCs w:val="32"/>
          <w:highlight w:val="none"/>
          <w:lang w:val="en-US" w:eastAsia="zh-CN"/>
        </w:rPr>
        <w:t>49</w:t>
      </w:r>
      <w:r>
        <w:rPr>
          <w:rFonts w:hint="eastAsia" w:ascii="方正仿宋_GBK" w:hAnsi="方正仿宋_GBK" w:eastAsia="方正仿宋_GBK" w:cs="方正仿宋_GBK"/>
          <w:b w:val="0"/>
          <w:bCs w:val="0"/>
          <w:sz w:val="32"/>
          <w:szCs w:val="32"/>
          <w:highlight w:val="none"/>
          <w:lang w:eastAsia="zh-CN"/>
        </w:rPr>
        <w:t>分、效益指标2</w:t>
      </w:r>
      <w:r>
        <w:rPr>
          <w:rFonts w:hint="eastAsia" w:ascii="方正仿宋_GBK" w:hAnsi="方正仿宋_GBK" w:eastAsia="方正仿宋_GBK" w:cs="方正仿宋_GBK"/>
          <w:b w:val="0"/>
          <w:bCs w:val="0"/>
          <w:sz w:val="32"/>
          <w:szCs w:val="32"/>
          <w:highlight w:val="none"/>
          <w:lang w:val="en-US" w:eastAsia="zh-CN"/>
        </w:rPr>
        <w:t>9</w:t>
      </w:r>
      <w:r>
        <w:rPr>
          <w:rFonts w:hint="eastAsia" w:ascii="方正仿宋_GBK" w:hAnsi="方正仿宋_GBK" w:eastAsia="方正仿宋_GBK" w:cs="方正仿宋_GBK"/>
          <w:b w:val="0"/>
          <w:bCs w:val="0"/>
          <w:sz w:val="32"/>
          <w:szCs w:val="32"/>
          <w:highlight w:val="none"/>
          <w:lang w:eastAsia="zh-CN"/>
        </w:rPr>
        <w:t>分、服务对象满意度指标10分，自评结果为“优”。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eastAsia="zh-CN"/>
        </w:rPr>
        <w:t>2.在自评价中发现20</w:t>
      </w:r>
      <w:r>
        <w:rPr>
          <w:rFonts w:hint="eastAsia" w:ascii="方正仿宋_GBK" w:hAnsi="方正仿宋_GBK" w:eastAsia="方正仿宋_GBK" w:cs="方正仿宋_GBK"/>
          <w:b w:val="0"/>
          <w:bCs w:val="0"/>
          <w:sz w:val="32"/>
          <w:szCs w:val="32"/>
          <w:highlight w:val="none"/>
          <w:lang w:val="en-US" w:eastAsia="zh-CN"/>
        </w:rPr>
        <w:t>25</w:t>
      </w:r>
      <w:r>
        <w:rPr>
          <w:rFonts w:hint="eastAsia" w:ascii="方正仿宋_GBK" w:hAnsi="方正仿宋_GBK" w:eastAsia="方正仿宋_GBK" w:cs="方正仿宋_GBK"/>
          <w:b w:val="0"/>
          <w:bCs w:val="0"/>
          <w:sz w:val="32"/>
          <w:szCs w:val="32"/>
          <w:highlight w:val="none"/>
          <w:lang w:eastAsia="zh-CN"/>
        </w:rPr>
        <w:t>年度部分中央引导地方科技发展资金中资金执行率偏低，</w:t>
      </w:r>
      <w:r>
        <w:rPr>
          <w:rFonts w:hint="eastAsia" w:ascii="方正仿宋_GBK" w:hAnsi="方正仿宋_GBK" w:eastAsia="方正仿宋_GBK" w:cs="方正仿宋_GBK"/>
          <w:sz w:val="32"/>
          <w:szCs w:val="32"/>
          <w:highlight w:val="none"/>
          <w:lang w:val="en-US" w:eastAsia="zh-CN"/>
        </w:rPr>
        <w:t>新疆维吾尔自治区科学技术厅</w:t>
      </w:r>
      <w:r>
        <w:rPr>
          <w:rFonts w:hint="eastAsia" w:ascii="方正仿宋_GBK" w:hAnsi="方正仿宋_GBK" w:eastAsia="方正仿宋_GBK" w:cs="方正仿宋_GBK"/>
          <w:b w:val="0"/>
          <w:bCs w:val="0"/>
          <w:sz w:val="32"/>
          <w:szCs w:val="32"/>
          <w:highlight w:val="none"/>
          <w:lang w:eastAsia="zh-CN"/>
        </w:rPr>
        <w:t>将在202</w:t>
      </w:r>
      <w:r>
        <w:rPr>
          <w:rFonts w:hint="eastAsia" w:ascii="方正仿宋_GBK" w:hAnsi="方正仿宋_GBK" w:eastAsia="方正仿宋_GBK" w:cs="方正仿宋_GBK"/>
          <w:b w:val="0"/>
          <w:bCs w:val="0"/>
          <w:sz w:val="32"/>
          <w:szCs w:val="32"/>
          <w:highlight w:val="none"/>
          <w:lang w:val="en-US" w:eastAsia="zh-CN"/>
        </w:rPr>
        <w:t>6</w:t>
      </w:r>
      <w:r>
        <w:rPr>
          <w:rFonts w:hint="eastAsia" w:ascii="方正仿宋_GBK" w:hAnsi="方正仿宋_GBK" w:eastAsia="方正仿宋_GBK" w:cs="方正仿宋_GBK"/>
          <w:b w:val="0"/>
          <w:bCs w:val="0"/>
          <w:sz w:val="32"/>
          <w:szCs w:val="32"/>
          <w:highlight w:val="none"/>
          <w:lang w:eastAsia="zh-CN"/>
        </w:rPr>
        <w:t>年的工作中加强对项目实施进度的监督，严格绩效目标管理来有效的避免资金执行偏差等有关问题。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lang w:eastAsia="zh-CN"/>
        </w:rPr>
        <w:t>（二）公开情况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eastAsia="zh-CN"/>
        </w:rPr>
      </w:pPr>
      <w:r>
        <w:rPr>
          <w:rFonts w:hint="eastAsia" w:ascii="方正仿宋_GBK" w:hAnsi="方正仿宋_GBK" w:eastAsia="方正仿宋_GBK" w:cs="方正仿宋_GBK"/>
          <w:b w:val="0"/>
          <w:bCs w:val="0"/>
          <w:sz w:val="32"/>
          <w:szCs w:val="32"/>
          <w:highlight w:val="none"/>
          <w:lang w:eastAsia="zh-CN"/>
        </w:rPr>
        <w:t>中央引导地方科技发展资金评价结果在</w:t>
      </w:r>
      <w:r>
        <w:rPr>
          <w:rFonts w:hint="eastAsia" w:ascii="方正仿宋_GBK" w:hAnsi="方正仿宋_GBK" w:eastAsia="方正仿宋_GBK" w:cs="方正仿宋_GBK"/>
          <w:sz w:val="32"/>
          <w:szCs w:val="32"/>
          <w:highlight w:val="none"/>
          <w:lang w:val="en-US" w:eastAsia="zh-CN"/>
        </w:rPr>
        <w:t>新疆维吾尔自治区科学技术厅</w:t>
      </w:r>
      <w:r>
        <w:rPr>
          <w:rFonts w:hint="eastAsia" w:ascii="方正仿宋_GBK" w:hAnsi="方正仿宋_GBK" w:eastAsia="方正仿宋_GBK" w:cs="方正仿宋_GBK"/>
          <w:b w:val="0"/>
          <w:bCs w:val="0"/>
          <w:sz w:val="32"/>
          <w:szCs w:val="32"/>
          <w:highlight w:val="none"/>
          <w:lang w:eastAsia="zh-CN"/>
        </w:rPr>
        <w:t>和</w:t>
      </w:r>
      <w:r>
        <w:rPr>
          <w:rFonts w:hint="eastAsia" w:ascii="方正仿宋_GBK" w:hAnsi="方正仿宋_GBK" w:eastAsia="方正仿宋_GBK" w:cs="方正仿宋_GBK"/>
          <w:b w:val="0"/>
          <w:bCs w:val="0"/>
          <w:sz w:val="32"/>
          <w:szCs w:val="32"/>
          <w:highlight w:val="none"/>
          <w:lang w:val="en-US" w:eastAsia="zh-CN"/>
        </w:rPr>
        <w:t>新疆维吾尔自治区财政厅</w:t>
      </w:r>
      <w:r>
        <w:rPr>
          <w:rFonts w:hint="eastAsia" w:ascii="方正仿宋_GBK" w:hAnsi="方正仿宋_GBK" w:eastAsia="方正仿宋_GBK" w:cs="方正仿宋_GBK"/>
          <w:b w:val="0"/>
          <w:bCs w:val="0"/>
          <w:sz w:val="32"/>
          <w:szCs w:val="32"/>
          <w:highlight w:val="none"/>
          <w:lang w:eastAsia="zh-CN"/>
        </w:rPr>
        <w:t>门户网站进行公示公开，广泛接受社会监督。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六</w:t>
      </w:r>
      <w:r>
        <w:rPr>
          <w:rFonts w:hint="eastAsia" w:ascii="方正黑体_GBK" w:hAnsi="方正黑体_GBK" w:eastAsia="方正黑体_GBK" w:cs="方正黑体_GBK"/>
          <w:sz w:val="32"/>
          <w:szCs w:val="32"/>
          <w:highlight w:val="none"/>
        </w:rPr>
        <w:t>、其他需要说明的问题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lang w:eastAsia="zh-CN"/>
        </w:rPr>
        <w:t>（一）各级审计和财会监督中未发现问题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lang w:eastAsia="zh-CN"/>
        </w:rPr>
        <w:t>（二）主要经验、做法和典型案例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1.新疆科技安全预警关键技术研发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项目由新疆维吾尔自治区科技发展战略研究院承担实施，2025年立项，执行年限1年（到2026年1月），项目总投入3200万元，引导资金支持200万元，2025年下达200万元，资金执行率82%。</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项目围绕推动科技高水平自立自强、科技安全监测预警等新阶段科技工作的重要任务，基于前期“自治区优势科技创新资源调查研究”工作的调查数据基础，以及已建成的科技文献、科技报告等数字化平台，遵循科技情报研究最新理论成果，面向科技情报服务最新需求，通过对科技安全关键技术的研发，按照“体系化、模块化、可拓展”的原则，开发多维度、多模态数据集成和深度挖掘工具集，建设集数据采集、整合、储存、分析、可视化于一体的科技安全预警分析平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预期产生成果：（1）通过科技安全关键技术的研发建成科技安全预警分析平台，平台包含优势创新资源调查系统、文献数据采集系统、科技报告服务系统、创新需求填报系统、科技动态信息采集系统等5个应用系统，数据加工中心、数据集成中心、科学数据中心等3个中心，科技创新数据决策、科技安全感知与响应等2个功能模块；（2）建设完成1个科技资源数据库；完成自治区“九大产业集群”技术图谱编制；（3）建立科技安全监测预警指标体系1套、制定新疆科学数据中心建设方案1套；（4）完成总报告1份、简报6期、专题报告2份、科技风险研判报告1份；（5）发表学术论文2-3篇；申请软件著作权1项；（6）开展培训2场，培训从事技术创新服务人员100人次，服务高新技术企业10家、科技型中小企业10家，提供技术咨询服务100人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2.马繁育与运动性能调控机制研究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该项目由新疆农业大学承担实施，2025年立项，执行年限2年（到2026年12月），项目总投入175万元，引导资金支持175万元，自筹资金0万元，本年拨付140万元,资金执行率80%。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项目通过开展伊犁马运动功能基因挖掘、运动马调教训练生理机制和马繁殖生理调控机制研究，形成与进一步优化运动马繁育、调教训练等技术，集成与优化运动马专项性能调教训练与性能评价技术，建立运动马专项性能调教训练与性能评价体系，提升马专项性能力，提高马匹资源利用和价值转化效率，提升马产业核心竞争力，使马产业保持技术在同行业中处于领先地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预期产生成果：（</w:t>
      </w:r>
      <w:r>
        <w:rPr>
          <w:rFonts w:hint="default" w:ascii="方正仿宋_GBK" w:hAnsi="方正仿宋_GBK" w:eastAsia="方正仿宋_GBK" w:cs="方正仿宋_GBK"/>
          <w:b w:val="0"/>
          <w:bCs w:val="0"/>
          <w:sz w:val="32"/>
          <w:szCs w:val="32"/>
          <w:highlight w:val="none"/>
          <w:lang w:val="en-US" w:eastAsia="zh-CN"/>
        </w:rPr>
        <w:t>1</w:t>
      </w:r>
      <w:r>
        <w:rPr>
          <w:rFonts w:hint="eastAsia" w:ascii="方正仿宋_GBK" w:hAnsi="方正仿宋_GBK" w:eastAsia="方正仿宋_GBK" w:cs="方正仿宋_GBK"/>
          <w:b w:val="0"/>
          <w:bCs w:val="0"/>
          <w:sz w:val="32"/>
          <w:szCs w:val="32"/>
          <w:highlight w:val="none"/>
          <w:lang w:val="en-US" w:eastAsia="zh-CN"/>
        </w:rPr>
        <w:t>）壮大专业性技术平台1个，申报各级各类科研项目2-3项，获批科研经费100万元；（</w:t>
      </w:r>
      <w:r>
        <w:rPr>
          <w:rFonts w:hint="default" w:ascii="方正仿宋_GBK" w:hAnsi="方正仿宋_GBK" w:eastAsia="方正仿宋_GBK" w:cs="方正仿宋_GBK"/>
          <w:b w:val="0"/>
          <w:bCs w:val="0"/>
          <w:sz w:val="32"/>
          <w:szCs w:val="32"/>
          <w:highlight w:val="none"/>
          <w:lang w:val="en-US" w:eastAsia="zh-CN"/>
        </w:rPr>
        <w:t>2</w:t>
      </w:r>
      <w:r>
        <w:rPr>
          <w:rFonts w:hint="eastAsia" w:ascii="方正仿宋_GBK" w:hAnsi="方正仿宋_GBK" w:eastAsia="方正仿宋_GBK" w:cs="方正仿宋_GBK"/>
          <w:b w:val="0"/>
          <w:bCs w:val="0"/>
          <w:sz w:val="32"/>
          <w:szCs w:val="32"/>
          <w:highlight w:val="none"/>
          <w:lang w:val="en-US" w:eastAsia="zh-CN"/>
        </w:rPr>
        <w:t>）形成运动马选种选育技术1套；（</w:t>
      </w:r>
      <w:r>
        <w:rPr>
          <w:rFonts w:hint="default" w:ascii="方正仿宋_GBK" w:hAnsi="方正仿宋_GBK" w:eastAsia="方正仿宋_GBK" w:cs="方正仿宋_GBK"/>
          <w:b w:val="0"/>
          <w:bCs w:val="0"/>
          <w:sz w:val="32"/>
          <w:szCs w:val="32"/>
          <w:highlight w:val="none"/>
          <w:lang w:val="en-US" w:eastAsia="zh-CN"/>
        </w:rPr>
        <w:t>3</w:t>
      </w:r>
      <w:r>
        <w:rPr>
          <w:rFonts w:hint="eastAsia" w:ascii="方正仿宋_GBK" w:hAnsi="方正仿宋_GBK" w:eastAsia="方正仿宋_GBK" w:cs="方正仿宋_GBK"/>
          <w:b w:val="0"/>
          <w:bCs w:val="0"/>
          <w:sz w:val="32"/>
          <w:szCs w:val="32"/>
          <w:highlight w:val="none"/>
          <w:lang w:val="en-US" w:eastAsia="zh-CN"/>
        </w:rPr>
        <w:t>）获得授权实用新型专利3 项，获得授权软件著作权4项；（</w:t>
      </w:r>
      <w:r>
        <w:rPr>
          <w:rFonts w:hint="default" w:ascii="方正仿宋_GBK" w:hAnsi="方正仿宋_GBK" w:eastAsia="方正仿宋_GBK" w:cs="方正仿宋_GBK"/>
          <w:b w:val="0"/>
          <w:bCs w:val="0"/>
          <w:sz w:val="32"/>
          <w:szCs w:val="32"/>
          <w:highlight w:val="none"/>
          <w:lang w:val="en-US" w:eastAsia="zh-CN"/>
        </w:rPr>
        <w:t>4</w:t>
      </w:r>
      <w:r>
        <w:rPr>
          <w:rFonts w:hint="eastAsia" w:ascii="方正仿宋_GBK" w:hAnsi="方正仿宋_GBK" w:eastAsia="方正仿宋_GBK" w:cs="方正仿宋_GBK"/>
          <w:b w:val="0"/>
          <w:bCs w:val="0"/>
          <w:sz w:val="32"/>
          <w:szCs w:val="32"/>
          <w:highlight w:val="none"/>
          <w:lang w:val="en-US" w:eastAsia="zh-CN"/>
        </w:rPr>
        <w:t>）研发新软件、数据库2个，制定技术标准3项；（</w:t>
      </w:r>
      <w:r>
        <w:rPr>
          <w:rFonts w:hint="default" w:ascii="方正仿宋_GBK" w:hAnsi="方正仿宋_GBK" w:eastAsia="方正仿宋_GBK" w:cs="方正仿宋_GBK"/>
          <w:b w:val="0"/>
          <w:bCs w:val="0"/>
          <w:sz w:val="32"/>
          <w:szCs w:val="32"/>
          <w:highlight w:val="none"/>
          <w:lang w:val="en-US" w:eastAsia="zh-CN"/>
        </w:rPr>
        <w:t>5</w:t>
      </w:r>
      <w:r>
        <w:rPr>
          <w:rFonts w:hint="eastAsia" w:ascii="方正仿宋_GBK" w:hAnsi="方正仿宋_GBK" w:eastAsia="方正仿宋_GBK" w:cs="方正仿宋_GBK"/>
          <w:b w:val="0"/>
          <w:bCs w:val="0"/>
          <w:sz w:val="32"/>
          <w:szCs w:val="32"/>
          <w:highlight w:val="none"/>
          <w:lang w:val="en-US" w:eastAsia="zh-CN"/>
        </w:rPr>
        <w:t>）发表高质量论文20篇；（</w:t>
      </w:r>
      <w:r>
        <w:rPr>
          <w:rFonts w:hint="default" w:ascii="方正仿宋_GBK" w:hAnsi="方正仿宋_GBK" w:eastAsia="方正仿宋_GBK" w:cs="方正仿宋_GBK"/>
          <w:b w:val="0"/>
          <w:bCs w:val="0"/>
          <w:sz w:val="32"/>
          <w:szCs w:val="32"/>
          <w:highlight w:val="none"/>
          <w:lang w:val="en-US" w:eastAsia="zh-CN"/>
        </w:rPr>
        <w:t>6</w:t>
      </w:r>
      <w:r>
        <w:rPr>
          <w:rFonts w:hint="eastAsia" w:ascii="方正仿宋_GBK" w:hAnsi="方正仿宋_GBK" w:eastAsia="方正仿宋_GBK" w:cs="方正仿宋_GBK"/>
          <w:b w:val="0"/>
          <w:bCs w:val="0"/>
          <w:sz w:val="32"/>
          <w:szCs w:val="32"/>
          <w:highlight w:val="none"/>
          <w:lang w:val="en-US" w:eastAsia="zh-CN"/>
        </w:rPr>
        <w:t>）形成运动马专项性能调教训练技术方案3套，引导调教训练马匹150匹；（</w:t>
      </w:r>
      <w:r>
        <w:rPr>
          <w:rFonts w:hint="default" w:ascii="方正仿宋_GBK" w:hAnsi="方正仿宋_GBK" w:eastAsia="方正仿宋_GBK" w:cs="方正仿宋_GBK"/>
          <w:b w:val="0"/>
          <w:bCs w:val="0"/>
          <w:sz w:val="32"/>
          <w:szCs w:val="32"/>
          <w:highlight w:val="none"/>
          <w:lang w:val="en-US" w:eastAsia="zh-CN"/>
        </w:rPr>
        <w:t>7</w:t>
      </w:r>
      <w:r>
        <w:rPr>
          <w:rFonts w:hint="eastAsia" w:ascii="方正仿宋_GBK" w:hAnsi="方正仿宋_GBK" w:eastAsia="方正仿宋_GBK" w:cs="方正仿宋_GBK"/>
          <w:b w:val="0"/>
          <w:bCs w:val="0"/>
          <w:sz w:val="32"/>
          <w:szCs w:val="32"/>
          <w:highlight w:val="none"/>
          <w:lang w:val="en-US" w:eastAsia="zh-CN"/>
        </w:rPr>
        <w:t>）调教训练运动马匹经济价值提高1万元/匹；（</w:t>
      </w:r>
      <w:r>
        <w:rPr>
          <w:rFonts w:hint="default" w:ascii="方正仿宋_GBK" w:hAnsi="方正仿宋_GBK" w:eastAsia="方正仿宋_GBK" w:cs="方正仿宋_GBK"/>
          <w:b w:val="0"/>
          <w:bCs w:val="0"/>
          <w:sz w:val="32"/>
          <w:szCs w:val="32"/>
          <w:highlight w:val="none"/>
          <w:lang w:val="en-US" w:eastAsia="zh-CN"/>
        </w:rPr>
        <w:t>8</w:t>
      </w:r>
      <w:r>
        <w:rPr>
          <w:rFonts w:hint="eastAsia" w:ascii="方正仿宋_GBK" w:hAnsi="方正仿宋_GBK" w:eastAsia="方正仿宋_GBK" w:cs="方正仿宋_GBK"/>
          <w:b w:val="0"/>
          <w:bCs w:val="0"/>
          <w:sz w:val="32"/>
          <w:szCs w:val="32"/>
          <w:highlight w:val="none"/>
          <w:lang w:val="en-US" w:eastAsia="zh-CN"/>
        </w:rPr>
        <w:t>）培养研究生15人，实现团队1人职称晋升。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3.AL5高强高导铝合金导线关键技术研究及产业化项目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该项目由特变电工新疆电缆有限公司承担实施，2025年立项，执行年限2年（到2026年12月），项目总投入320万元，引导资金支持67万元，自筹资金253万元，后补助支持。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项目围绕一带一路等沿线国家电网敷设项目建设对高强高导铝合金导线需求，借助高校在基础工艺研究方面技术水平，针对高强度铝合金导线，研究在保证抗拉强度的前提下，大幅提升产品导电率指标。主要从高强高导铝合金杆配方、杆材制备、生产工艺及拉丝时效工艺等方面进行关键技术研究，使铝合金导线满足长期工作温度70-100℃，导电率不小于55.5%IACS，抗拉强度不小于315Mpa，缩小我国铝合金导线导电率和力学性能与国际先进水平的差距，提高企业技术水平，增强国际竞争力，实现拥有自主知识产权的高强高导铝合金导线产品研发及成果转化市场推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预期产生成果：（1）完成项目立项建议书，组织专家论证评审，确认技术方案；（2）申请专利3件，其中1件发明专利，2件实用新型；（3）完成核心期刊或EI检索会议发表论文2篇；（4）实现高强高导铝合金杆批量化投产。同时依托该项目研究，培养技术研发人员2人，高级技工2人。（5）项目实施过程中，确保拉制高强高导铝合金线满足长期工作温度70-100℃，导电率不小于55.5%IACS，抗拉强度不小于315Mpa技术指标要求，获取第三方检测报告，形成内部生产工艺方案，完成产品相关企业标准1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4.新能源储能变流器用新型非晶纳米晶软磁合金研发及应用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default"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该项目由新疆大学承担实施，2025年立项，执行年限2年（到2026年12月），项目总投入45万元，引导资金支持45万元，自筹资金0万元，本年拨付36万元，资金执行率80%。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项目针对性能需求进行新能源储能变流器用新型非晶纳米晶软磁合金的成分开发及损耗机理研究，拟通过成分优化以及微合金化，开发具有高非晶形成能力以及优异高频磁性纳米晶软磁合金成分；系统研究软磁材料高频损耗及磁化行为，解析微观原子/磁结构特征参量与高频软磁性能的内在关联，指导高频低损耗纳米晶软磁材料成分开发及性能优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预期产生成果：（</w:t>
      </w:r>
      <w:r>
        <w:rPr>
          <w:rFonts w:hint="default" w:ascii="方正仿宋_GBK" w:hAnsi="方正仿宋_GBK" w:eastAsia="方正仿宋_GBK" w:cs="方正仿宋_GBK"/>
          <w:b w:val="0"/>
          <w:bCs w:val="0"/>
          <w:sz w:val="32"/>
          <w:szCs w:val="32"/>
          <w:highlight w:val="none"/>
          <w:lang w:val="en-US" w:eastAsia="zh-CN"/>
        </w:rPr>
        <w:t>1</w:t>
      </w:r>
      <w:r>
        <w:rPr>
          <w:rFonts w:hint="eastAsia" w:ascii="方正仿宋_GBK" w:hAnsi="方正仿宋_GBK" w:eastAsia="方正仿宋_GBK" w:cs="方正仿宋_GBK"/>
          <w:b w:val="0"/>
          <w:bCs w:val="0"/>
          <w:sz w:val="32"/>
          <w:szCs w:val="32"/>
          <w:highlight w:val="none"/>
          <w:lang w:val="en-US" w:eastAsia="zh-CN"/>
        </w:rPr>
        <w:t>）完成非晶纳米晶合金材料的大规模制备技术研究，并优化其制备工艺；（</w:t>
      </w:r>
      <w:r>
        <w:rPr>
          <w:rFonts w:hint="default" w:ascii="方正仿宋_GBK" w:hAnsi="方正仿宋_GBK" w:eastAsia="方正仿宋_GBK" w:cs="方正仿宋_GBK"/>
          <w:b w:val="0"/>
          <w:bCs w:val="0"/>
          <w:sz w:val="32"/>
          <w:szCs w:val="32"/>
          <w:highlight w:val="none"/>
          <w:lang w:val="en-US" w:eastAsia="zh-CN"/>
        </w:rPr>
        <w:t>2</w:t>
      </w:r>
      <w:r>
        <w:rPr>
          <w:rFonts w:hint="eastAsia" w:ascii="方正仿宋_GBK" w:hAnsi="方正仿宋_GBK" w:eastAsia="方正仿宋_GBK" w:cs="方正仿宋_GBK"/>
          <w:b w:val="0"/>
          <w:bCs w:val="0"/>
          <w:sz w:val="32"/>
          <w:szCs w:val="32"/>
          <w:highlight w:val="none"/>
          <w:lang w:val="en-US" w:eastAsia="zh-CN"/>
        </w:rPr>
        <w:t>）提交最终技术报告，发表3篇以上SCI论文，申请1项发明专利；（</w:t>
      </w:r>
      <w:r>
        <w:rPr>
          <w:rFonts w:hint="default" w:ascii="方正仿宋_GBK" w:hAnsi="方正仿宋_GBK" w:eastAsia="方正仿宋_GBK" w:cs="方正仿宋_GBK"/>
          <w:b w:val="0"/>
          <w:bCs w:val="0"/>
          <w:sz w:val="32"/>
          <w:szCs w:val="32"/>
          <w:highlight w:val="none"/>
          <w:lang w:val="en-US" w:eastAsia="zh-CN"/>
        </w:rPr>
        <w:t>3</w:t>
      </w:r>
      <w:r>
        <w:rPr>
          <w:rFonts w:hint="eastAsia" w:ascii="方正仿宋_GBK" w:hAnsi="方正仿宋_GBK" w:eastAsia="方正仿宋_GBK" w:cs="方正仿宋_GBK"/>
          <w:b w:val="0"/>
          <w:bCs w:val="0"/>
          <w:sz w:val="32"/>
          <w:szCs w:val="32"/>
          <w:highlight w:val="none"/>
          <w:lang w:val="en-US" w:eastAsia="zh-CN"/>
        </w:rPr>
        <w:t>）确保磁粉芯的各项指标符合预期，包括磁导率、损耗及抗氧化性等；（</w:t>
      </w:r>
      <w:r>
        <w:rPr>
          <w:rFonts w:hint="default" w:ascii="方正仿宋_GBK" w:hAnsi="方正仿宋_GBK" w:eastAsia="方正仿宋_GBK" w:cs="方正仿宋_GBK"/>
          <w:b w:val="0"/>
          <w:bCs w:val="0"/>
          <w:sz w:val="32"/>
          <w:szCs w:val="32"/>
          <w:highlight w:val="none"/>
          <w:lang w:val="en-US" w:eastAsia="zh-CN"/>
        </w:rPr>
        <w:t>4</w:t>
      </w:r>
      <w:r>
        <w:rPr>
          <w:rFonts w:hint="eastAsia" w:ascii="方正仿宋_GBK" w:hAnsi="方正仿宋_GBK" w:eastAsia="方正仿宋_GBK" w:cs="方正仿宋_GBK"/>
          <w:b w:val="0"/>
          <w:bCs w:val="0"/>
          <w:sz w:val="32"/>
          <w:szCs w:val="32"/>
          <w:highlight w:val="none"/>
          <w:lang w:val="en-US" w:eastAsia="zh-CN"/>
        </w:rPr>
        <w:t>）完成3名硕士研究生的培养；（</w:t>
      </w:r>
      <w:r>
        <w:rPr>
          <w:rFonts w:hint="default" w:ascii="方正仿宋_GBK" w:hAnsi="方正仿宋_GBK" w:eastAsia="方正仿宋_GBK" w:cs="方正仿宋_GBK"/>
          <w:b w:val="0"/>
          <w:bCs w:val="0"/>
          <w:sz w:val="32"/>
          <w:szCs w:val="32"/>
          <w:highlight w:val="none"/>
          <w:lang w:val="en-US" w:eastAsia="zh-CN"/>
        </w:rPr>
        <w:t>5</w:t>
      </w:r>
      <w:r>
        <w:rPr>
          <w:rFonts w:hint="eastAsia" w:ascii="方正仿宋_GBK" w:hAnsi="方正仿宋_GBK" w:eastAsia="方正仿宋_GBK" w:cs="方正仿宋_GBK"/>
          <w:b w:val="0"/>
          <w:bCs w:val="0"/>
          <w:sz w:val="32"/>
          <w:szCs w:val="32"/>
          <w:highlight w:val="none"/>
          <w:lang w:val="en-US" w:eastAsia="zh-CN"/>
        </w:rPr>
        <w:t>）与企业合作，进行技术转化的初步探讨，提供技术咨询服务50人次。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附</w:t>
      </w:r>
      <w:r>
        <w:rPr>
          <w:rFonts w:hint="eastAsia" w:ascii="仿宋" w:hAnsi="仿宋" w:eastAsia="仿宋" w:cs="仿宋"/>
          <w:sz w:val="32"/>
          <w:szCs w:val="32"/>
          <w:highlight w:val="none"/>
          <w:lang w:eastAsia="zh-CN"/>
        </w:rPr>
        <w:t>件</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中央引导地方科技发展资金区域</w:t>
      </w:r>
      <w:r>
        <w:rPr>
          <w:rFonts w:hint="eastAsia" w:ascii="仿宋" w:hAnsi="仿宋" w:eastAsia="仿宋" w:cs="仿宋"/>
          <w:sz w:val="32"/>
          <w:szCs w:val="32"/>
          <w:highlight w:val="none"/>
        </w:rPr>
        <w:t>绩效目标自评表</w:t>
      </w:r>
    </w:p>
    <w:p>
      <w:pPr>
        <w:rPr>
          <w:rFonts w:hint="eastAsia" w:ascii="Times New Roman" w:hAnsi="Times New Roman" w:eastAsia="方正小标宋简体" w:cs="Times New Roman"/>
          <w:b/>
          <w:bCs/>
          <w:color w:val="000000"/>
          <w:sz w:val="28"/>
          <w:szCs w:val="28"/>
          <w:highlight w:val="none"/>
          <w:lang w:eastAsia="zh-CN"/>
        </w:rPr>
      </w:pPr>
      <w:r>
        <w:rPr>
          <w:rFonts w:hint="eastAsia" w:ascii="Times New Roman" w:hAnsi="Times New Roman" w:eastAsia="方正小标宋简体" w:cs="Times New Roman"/>
          <w:b/>
          <w:bCs/>
          <w:color w:val="000000"/>
          <w:sz w:val="28"/>
          <w:szCs w:val="28"/>
          <w:highlight w:val="none"/>
          <w:lang w:eastAsia="zh-CN"/>
        </w:rPr>
        <w:br w:type="page"/>
      </w:r>
    </w:p>
    <w:p>
      <w:pPr>
        <w:keepNext w:val="0"/>
        <w:keepLines w:val="0"/>
        <w:pageBreakBefore w:val="0"/>
        <w:kinsoku/>
        <w:wordWrap/>
        <w:overflowPunct/>
        <w:topLinePunct w:val="0"/>
        <w:autoSpaceDE/>
        <w:autoSpaceDN/>
        <w:bidi w:val="0"/>
        <w:spacing w:line="560" w:lineRule="exact"/>
        <w:ind w:left="0"/>
        <w:jc w:val="both"/>
        <w:textAlignment w:val="auto"/>
        <w:rPr>
          <w:rFonts w:hint="default" w:ascii="黑体" w:hAnsi="黑体" w:eastAsia="黑体" w:cs="黑体"/>
          <w:b w:val="0"/>
          <w:bCs w:val="0"/>
          <w:color w:val="000000"/>
          <w:sz w:val="28"/>
          <w:szCs w:val="28"/>
          <w:highlight w:val="none"/>
          <w:lang w:val="en-US" w:eastAsia="zh-CN"/>
        </w:rPr>
      </w:pPr>
      <w:r>
        <w:rPr>
          <w:rFonts w:hint="eastAsia" w:ascii="黑体" w:hAnsi="黑体" w:eastAsia="黑体" w:cs="黑体"/>
          <w:b w:val="0"/>
          <w:bCs w:val="0"/>
          <w:color w:val="000000"/>
          <w:sz w:val="28"/>
          <w:szCs w:val="28"/>
          <w:highlight w:val="none"/>
          <w:lang w:val="en" w:eastAsia="zh-CN"/>
        </w:rPr>
        <w:t>附件</w:t>
      </w:r>
    </w:p>
    <w:p>
      <w:pPr>
        <w:keepNext w:val="0"/>
        <w:keepLines w:val="0"/>
        <w:pageBreakBefore w:val="0"/>
        <w:kinsoku/>
        <w:wordWrap/>
        <w:overflowPunct/>
        <w:topLinePunct w:val="0"/>
        <w:autoSpaceDE/>
        <w:autoSpaceDN/>
        <w:bidi w:val="0"/>
        <w:spacing w:line="560" w:lineRule="exact"/>
        <w:ind w:left="0"/>
        <w:jc w:val="both"/>
        <w:textAlignment w:val="auto"/>
        <w:rPr>
          <w:rFonts w:hint="default" w:ascii="Times New Roman" w:hAnsi="Times New Roman" w:eastAsia="方正小标宋简体" w:cs="Times New Roman"/>
          <w:b/>
          <w:bCs/>
          <w:color w:val="000000"/>
          <w:sz w:val="28"/>
          <w:szCs w:val="28"/>
          <w:highlight w:val="none"/>
          <w:lang w:val="en-US" w:eastAsia="zh-CN"/>
        </w:rPr>
      </w:pPr>
    </w:p>
    <w:p>
      <w:pPr>
        <w:keepNext w:val="0"/>
        <w:keepLines w:val="0"/>
        <w:pageBreakBefore w:val="0"/>
        <w:kinsoku/>
        <w:wordWrap/>
        <w:overflowPunct/>
        <w:topLinePunct w:val="0"/>
        <w:autoSpaceDE/>
        <w:autoSpaceDN/>
        <w:bidi w:val="0"/>
        <w:spacing w:line="560" w:lineRule="exact"/>
        <w:ind w:left="0"/>
        <w:jc w:val="center"/>
        <w:textAlignment w:val="auto"/>
        <w:rPr>
          <w:rFonts w:hint="default" w:ascii="Times New Roman" w:hAnsi="Times New Roman" w:eastAsia="方正小标宋简体" w:cs="Times New Roman"/>
          <w:b/>
          <w:bCs/>
          <w:sz w:val="28"/>
          <w:szCs w:val="28"/>
          <w:highlight w:val="none"/>
        </w:rPr>
      </w:pPr>
      <w:r>
        <w:rPr>
          <w:rFonts w:hint="default" w:ascii="Times New Roman" w:hAnsi="Times New Roman" w:eastAsia="方正小标宋简体" w:cs="Times New Roman"/>
          <w:b/>
          <w:bCs/>
          <w:color w:val="000000"/>
          <w:sz w:val="28"/>
          <w:szCs w:val="28"/>
          <w:highlight w:val="none"/>
          <w:lang w:eastAsia="zh-CN"/>
        </w:rPr>
        <w:t>中央引导地方科技发展资金</w:t>
      </w:r>
      <w:r>
        <w:rPr>
          <w:rFonts w:hint="eastAsia" w:ascii="Times New Roman" w:hAnsi="Times New Roman" w:eastAsia="方正小标宋简体" w:cs="Times New Roman"/>
          <w:b/>
          <w:bCs/>
          <w:color w:val="000000"/>
          <w:sz w:val="28"/>
          <w:szCs w:val="28"/>
          <w:highlight w:val="none"/>
          <w:lang w:eastAsia="zh-CN"/>
        </w:rPr>
        <w:t>区域</w:t>
      </w:r>
      <w:r>
        <w:rPr>
          <w:rFonts w:hint="default" w:ascii="Times New Roman" w:hAnsi="Times New Roman" w:eastAsia="方正小标宋简体" w:cs="Times New Roman"/>
          <w:b/>
          <w:bCs/>
          <w:color w:val="000000"/>
          <w:sz w:val="28"/>
          <w:szCs w:val="28"/>
          <w:highlight w:val="none"/>
        </w:rPr>
        <w:t>绩效目标自评表</w:t>
      </w:r>
    </w:p>
    <w:p>
      <w:pPr>
        <w:keepNext w:val="0"/>
        <w:keepLines w:val="0"/>
        <w:pageBreakBefore w:val="0"/>
        <w:kinsoku/>
        <w:wordWrap/>
        <w:overflowPunct/>
        <w:topLinePunct w:val="0"/>
        <w:autoSpaceDE/>
        <w:autoSpaceDN/>
        <w:bidi w:val="0"/>
        <w:spacing w:line="560" w:lineRule="exact"/>
        <w:ind w:left="0"/>
        <w:jc w:val="center"/>
        <w:textAlignment w:val="auto"/>
        <w:rPr>
          <w:rFonts w:hint="default" w:ascii="Times New Roman" w:hAnsi="Times New Roman" w:cs="Times New Roman"/>
          <w:highlight w:val="none"/>
        </w:rPr>
      </w:pPr>
      <w:r>
        <w:rPr>
          <w:rFonts w:hint="default" w:ascii="Times New Roman" w:hAnsi="Times New Roman" w:eastAsia="楷体_GB2312" w:cs="Times New Roman"/>
          <w:b/>
          <w:bCs/>
          <w:color w:val="000000"/>
          <w:sz w:val="18"/>
          <w:highlight w:val="none"/>
        </w:rPr>
        <w:t>（2</w:t>
      </w:r>
      <w:r>
        <w:rPr>
          <w:rFonts w:hint="eastAsia" w:ascii="Times New Roman" w:hAnsi="Times New Roman" w:eastAsia="楷体_GB2312" w:cs="Times New Roman"/>
          <w:b/>
          <w:bCs/>
          <w:color w:val="000000"/>
          <w:sz w:val="18"/>
          <w:highlight w:val="none"/>
          <w:lang w:val="en-US" w:eastAsia="zh-CN"/>
        </w:rPr>
        <w:t>025</w:t>
      </w:r>
      <w:r>
        <w:rPr>
          <w:rFonts w:hint="default" w:ascii="Times New Roman" w:hAnsi="Times New Roman" w:eastAsia="楷体_GB2312" w:cs="Times New Roman"/>
          <w:b/>
          <w:bCs/>
          <w:color w:val="000000"/>
          <w:sz w:val="18"/>
          <w:highlight w:val="none"/>
        </w:rPr>
        <w:t>年度）</w:t>
      </w:r>
    </w:p>
    <w:tbl>
      <w:tblPr>
        <w:tblStyle w:val="9"/>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47"/>
        <w:gridCol w:w="535"/>
        <w:gridCol w:w="765"/>
        <w:gridCol w:w="1580"/>
        <w:gridCol w:w="1464"/>
        <w:gridCol w:w="1081"/>
        <w:gridCol w:w="8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2047" w:type="dxa"/>
            <w:gridSpan w:val="3"/>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项目名称</w:t>
            </w:r>
          </w:p>
        </w:tc>
        <w:tc>
          <w:tcPr>
            <w:tcW w:w="6822" w:type="dxa"/>
            <w:gridSpan w:val="5"/>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eastAsia="宋体" w:cs="Times New Roman"/>
                <w:color w:val="000000"/>
                <w:sz w:val="15"/>
                <w:szCs w:val="15"/>
                <w:highlight w:val="none"/>
                <w:lang w:eastAsia="zh-CN"/>
              </w:rPr>
            </w:pPr>
            <w:r>
              <w:rPr>
                <w:rFonts w:hint="default" w:ascii="Times New Roman" w:hAnsi="Times New Roman" w:cs="Times New Roman"/>
                <w:color w:val="000000"/>
                <w:sz w:val="15"/>
                <w:szCs w:val="15"/>
                <w:highlight w:val="none"/>
                <w:lang w:eastAsia="zh-CN"/>
              </w:rPr>
              <w:t>中央引导地方科技发展资金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2047" w:type="dxa"/>
            <w:gridSpan w:val="3"/>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中央主管部门</w:t>
            </w:r>
          </w:p>
        </w:tc>
        <w:tc>
          <w:tcPr>
            <w:tcW w:w="6822" w:type="dxa"/>
            <w:gridSpan w:val="5"/>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eastAsia="宋体" w:cs="Times New Roman"/>
                <w:color w:val="000000"/>
                <w:sz w:val="15"/>
                <w:szCs w:val="15"/>
                <w:highlight w:val="none"/>
                <w:lang w:eastAsia="zh-CN"/>
              </w:rPr>
            </w:pPr>
            <w:r>
              <w:rPr>
                <w:rFonts w:hint="default" w:ascii="Times New Roman" w:hAnsi="Times New Roman" w:cs="Times New Roman"/>
                <w:color w:val="000000"/>
                <w:sz w:val="15"/>
                <w:szCs w:val="15"/>
                <w:highlight w:val="none"/>
                <w:lang w:eastAsia="zh-CN"/>
              </w:rPr>
              <w:t>财政部、科技部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2047" w:type="dxa"/>
            <w:gridSpan w:val="3"/>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eastAsia" w:ascii="Times New Roman" w:hAnsi="Times New Roman" w:cs="Times New Roman"/>
                <w:color w:val="000000"/>
                <w:sz w:val="15"/>
                <w:szCs w:val="15"/>
                <w:highlight w:val="none"/>
                <w:lang w:eastAsia="zh-CN"/>
              </w:rPr>
              <w:t>地方主管部门</w:t>
            </w:r>
          </w:p>
        </w:tc>
        <w:tc>
          <w:tcPr>
            <w:tcW w:w="6822" w:type="dxa"/>
            <w:gridSpan w:val="5"/>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eastAsia" w:ascii="Times New Roman" w:hAnsi="Times New Roman" w:eastAsia="宋体" w:cs="Times New Roman"/>
                <w:color w:val="000000"/>
                <w:sz w:val="15"/>
                <w:szCs w:val="15"/>
                <w:highlight w:val="none"/>
                <w:lang w:eastAsia="zh-CN"/>
              </w:rPr>
            </w:pPr>
            <w:r>
              <w:rPr>
                <w:rFonts w:hint="eastAsia" w:ascii="Times New Roman" w:hAnsi="Times New Roman" w:cs="Times New Roman"/>
                <w:color w:val="000000"/>
                <w:sz w:val="15"/>
                <w:szCs w:val="15"/>
                <w:highlight w:val="none"/>
                <w:lang w:eastAsia="zh-CN"/>
              </w:rPr>
              <w:t>新疆维吾尔自治区财政厅、新疆维吾尔自治区科学技术厅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2047"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资金情况</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（万元）</w:t>
            </w:r>
          </w:p>
        </w:tc>
        <w:tc>
          <w:tcPr>
            <w:tcW w:w="1580"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1464" w:type="dxa"/>
            <w:noWrap w:val="0"/>
            <w:vAlign w:val="center"/>
          </w:tcPr>
          <w:p>
            <w:pPr>
              <w:keepNext w:val="0"/>
              <w:keepLines w:val="0"/>
              <w:pageBreakBefore w:val="0"/>
              <w:kinsoku/>
              <w:wordWrap/>
              <w:overflowPunct/>
              <w:topLinePunct w:val="0"/>
              <w:autoSpaceDE/>
              <w:autoSpaceDN/>
              <w:bidi w:val="0"/>
              <w:adjustRightInd/>
              <w:snapToGrid/>
              <w:spacing w:line="180" w:lineRule="exact"/>
              <w:ind w:left="0" w:firstLine="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全年预算数（A）</w:t>
            </w:r>
          </w:p>
        </w:tc>
        <w:tc>
          <w:tcPr>
            <w:tcW w:w="1881" w:type="dxa"/>
            <w:gridSpan w:val="2"/>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全年执行数（B）</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预算执行率（B／A）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2047"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none"/>
              </w:rPr>
            </w:pPr>
          </w:p>
        </w:tc>
        <w:tc>
          <w:tcPr>
            <w:tcW w:w="1580" w:type="dxa"/>
            <w:noWrap w:val="0"/>
            <w:vAlign w:val="center"/>
          </w:tcPr>
          <w:p>
            <w:pPr>
              <w:keepNext w:val="0"/>
              <w:keepLines w:val="0"/>
              <w:pageBreakBefore w:val="0"/>
              <w:kinsoku/>
              <w:wordWrap/>
              <w:overflowPunct/>
              <w:topLinePunct w:val="0"/>
              <w:autoSpaceDE/>
              <w:autoSpaceDN/>
              <w:bidi w:val="0"/>
              <w:adjustRightInd/>
              <w:snapToGrid/>
              <w:spacing w:line="180" w:lineRule="exact"/>
              <w:ind w:left="0" w:firstLine="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年度资金总额：</w:t>
            </w:r>
          </w:p>
        </w:tc>
        <w:tc>
          <w:tcPr>
            <w:tcW w:w="1464"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eastAsia="宋体" w:cs="Times New Roman"/>
                <w:color w:val="000000"/>
                <w:sz w:val="15"/>
                <w:szCs w:val="15"/>
                <w:highlight w:val="none"/>
                <w:lang w:val="en-US" w:eastAsia="zh-CN"/>
              </w:rPr>
            </w:pPr>
            <w:r>
              <w:rPr>
                <w:rFonts w:hint="eastAsia" w:ascii="Times New Roman" w:hAnsi="Times New Roman" w:cs="Times New Roman"/>
                <w:color w:val="000000"/>
                <w:sz w:val="15"/>
                <w:szCs w:val="15"/>
                <w:highlight w:val="none"/>
                <w:lang w:val="en-US" w:eastAsia="zh-CN"/>
              </w:rPr>
              <w:t>10930</w:t>
            </w:r>
          </w:p>
        </w:tc>
        <w:tc>
          <w:tcPr>
            <w:tcW w:w="1881" w:type="dxa"/>
            <w:gridSpan w:val="2"/>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eastAsia="宋体" w:cs="Times New Roman"/>
                <w:color w:val="000000"/>
                <w:sz w:val="15"/>
                <w:szCs w:val="15"/>
                <w:highlight w:val="none"/>
                <w:lang w:val="en-US" w:eastAsia="zh-CN"/>
              </w:rPr>
            </w:pPr>
            <w:r>
              <w:rPr>
                <w:rFonts w:hint="eastAsia" w:ascii="Times New Roman" w:hAnsi="Times New Roman" w:cs="Times New Roman"/>
                <w:color w:val="000000"/>
                <w:sz w:val="15"/>
                <w:szCs w:val="15"/>
                <w:highlight w:val="none"/>
                <w:lang w:val="en-US" w:eastAsia="zh-CN"/>
              </w:rPr>
              <w:t>10930</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eastAsia" w:ascii="Times New Roman" w:hAnsi="Times New Roman" w:cs="Times New Roman"/>
                <w:color w:val="000000"/>
                <w:sz w:val="15"/>
                <w:szCs w:val="15"/>
                <w:highlight w:val="none"/>
                <w:lang w:val="en-US" w:eastAsia="zh-CN"/>
              </w:rPr>
              <w:t>100</w:t>
            </w:r>
            <w:r>
              <w:rPr>
                <w:rFonts w:hint="default" w:ascii="Times New Roman" w:hAnsi="Times New Roman" w:cs="Times New Roman"/>
                <w:color w:val="00000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2047"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none"/>
              </w:rPr>
            </w:pPr>
          </w:p>
        </w:tc>
        <w:tc>
          <w:tcPr>
            <w:tcW w:w="1580"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其中：中央财政资金</w:t>
            </w:r>
          </w:p>
        </w:tc>
        <w:tc>
          <w:tcPr>
            <w:tcW w:w="1464"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eastAsia="宋体" w:cs="Times New Roman"/>
                <w:color w:val="000000"/>
                <w:sz w:val="15"/>
                <w:szCs w:val="15"/>
                <w:highlight w:val="none"/>
                <w:lang w:val="en-US" w:eastAsia="zh-CN"/>
              </w:rPr>
            </w:pPr>
            <w:r>
              <w:rPr>
                <w:rFonts w:hint="eastAsia" w:ascii="Times New Roman" w:hAnsi="Times New Roman" w:cs="Times New Roman"/>
                <w:color w:val="000000"/>
                <w:sz w:val="15"/>
                <w:szCs w:val="15"/>
                <w:highlight w:val="none"/>
                <w:lang w:val="en-US" w:eastAsia="zh-CN"/>
              </w:rPr>
              <w:t>10930</w:t>
            </w:r>
          </w:p>
        </w:tc>
        <w:tc>
          <w:tcPr>
            <w:tcW w:w="1881" w:type="dxa"/>
            <w:gridSpan w:val="2"/>
            <w:noWrap w:val="0"/>
            <w:vAlign w:val="center"/>
          </w:tcPr>
          <w:p>
            <w:pPr>
              <w:keepNext w:val="0"/>
              <w:keepLines w:val="0"/>
              <w:pageBreakBefore w:val="0"/>
              <w:kinsoku/>
              <w:wordWrap/>
              <w:overflowPunct/>
              <w:topLinePunct w:val="0"/>
              <w:autoSpaceDE/>
              <w:autoSpaceDN/>
              <w:bidi w:val="0"/>
              <w:adjustRightInd/>
              <w:snapToGrid/>
              <w:spacing w:line="180" w:lineRule="exact"/>
              <w:ind w:left="0" w:leftChars="0"/>
              <w:jc w:val="center"/>
              <w:rPr>
                <w:rFonts w:hint="default" w:ascii="Times New Roman" w:hAnsi="Times New Roman" w:eastAsia="宋体" w:cs="Times New Roman"/>
                <w:color w:val="000000"/>
                <w:sz w:val="15"/>
                <w:szCs w:val="15"/>
                <w:highlight w:val="none"/>
                <w:lang w:val="en-US" w:eastAsia="zh-CN"/>
              </w:rPr>
            </w:pPr>
            <w:r>
              <w:rPr>
                <w:rFonts w:hint="eastAsia" w:ascii="Times New Roman" w:hAnsi="Times New Roman" w:cs="Times New Roman"/>
                <w:color w:val="000000"/>
                <w:sz w:val="15"/>
                <w:szCs w:val="15"/>
                <w:highlight w:val="none"/>
                <w:lang w:val="en-US" w:eastAsia="zh-CN"/>
              </w:rPr>
              <w:t>10930</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leftChars="0"/>
              <w:jc w:val="center"/>
              <w:rPr>
                <w:rFonts w:hint="default" w:ascii="Times New Roman" w:hAnsi="Times New Roman" w:eastAsia="宋体" w:cs="Times New Roman"/>
                <w:color w:val="000000"/>
                <w:sz w:val="15"/>
                <w:szCs w:val="15"/>
                <w:highlight w:val="none"/>
                <w:lang w:val="en-US" w:eastAsia="zh-CN"/>
              </w:rPr>
            </w:pPr>
            <w:r>
              <w:rPr>
                <w:rFonts w:hint="eastAsia" w:ascii="Times New Roman" w:hAnsi="Times New Roman" w:cs="Times New Roman"/>
                <w:color w:val="000000"/>
                <w:sz w:val="15"/>
                <w:szCs w:val="15"/>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2047"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none"/>
              </w:rPr>
            </w:pPr>
          </w:p>
        </w:tc>
        <w:tc>
          <w:tcPr>
            <w:tcW w:w="1580"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地方资金</w:t>
            </w:r>
          </w:p>
        </w:tc>
        <w:tc>
          <w:tcPr>
            <w:tcW w:w="1464"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0</w:t>
            </w:r>
          </w:p>
        </w:tc>
        <w:tc>
          <w:tcPr>
            <w:tcW w:w="1881" w:type="dxa"/>
            <w:gridSpan w:val="2"/>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0</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2047"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none"/>
              </w:rPr>
            </w:pPr>
          </w:p>
        </w:tc>
        <w:tc>
          <w:tcPr>
            <w:tcW w:w="1580"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其他资金</w:t>
            </w:r>
          </w:p>
        </w:tc>
        <w:tc>
          <w:tcPr>
            <w:tcW w:w="1464" w:type="dxa"/>
            <w:noWrap w:val="0"/>
            <w:vAlign w:val="center"/>
          </w:tcPr>
          <w:p>
            <w:pPr>
              <w:keepNext w:val="0"/>
              <w:keepLines w:val="0"/>
              <w:pageBreakBefore w:val="0"/>
              <w:kinsoku/>
              <w:wordWrap/>
              <w:overflowPunct/>
              <w:topLinePunct w:val="0"/>
              <w:autoSpaceDE/>
              <w:autoSpaceDN/>
              <w:bidi w:val="0"/>
              <w:adjustRightInd/>
              <w:snapToGrid/>
              <w:spacing w:line="180" w:lineRule="exact"/>
              <w:ind w:left="0" w:firstLine="0"/>
              <w:jc w:val="center"/>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0</w:t>
            </w:r>
          </w:p>
        </w:tc>
        <w:tc>
          <w:tcPr>
            <w:tcW w:w="1881" w:type="dxa"/>
            <w:gridSpan w:val="2"/>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0</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both"/>
              <w:textAlignment w:val="auto"/>
              <w:outlineLvl w:val="9"/>
              <w:rPr>
                <w:rFonts w:hint="eastAsia" w:ascii="Times New Roman" w:hAnsi="Times New Roman" w:cs="Times New Roman"/>
                <w:color w:val="000000"/>
                <w:sz w:val="15"/>
                <w:szCs w:val="15"/>
                <w:highlight w:val="none"/>
                <w:lang w:eastAsia="zh-CN"/>
              </w:rPr>
            </w:pPr>
            <w:r>
              <w:rPr>
                <w:rFonts w:hint="eastAsia" w:ascii="Times New Roman" w:hAnsi="Times New Roman" w:cs="Times New Roman"/>
                <w:color w:val="000000"/>
                <w:sz w:val="15"/>
                <w:szCs w:val="15"/>
                <w:highlight w:val="none"/>
                <w:lang w:eastAsia="zh-CN"/>
              </w:rPr>
              <w:t>总体</w:t>
            </w:r>
          </w:p>
          <w:p>
            <w:pPr>
              <w:keepNext w:val="0"/>
              <w:keepLines w:val="0"/>
              <w:pageBreakBefore w:val="0"/>
              <w:widowControl w:val="0"/>
              <w:kinsoku/>
              <w:wordWrap/>
              <w:overflowPunct/>
              <w:topLinePunct w:val="0"/>
              <w:autoSpaceDE/>
              <w:autoSpaceDN/>
              <w:bidi w:val="0"/>
              <w:adjustRightInd/>
              <w:snapToGrid/>
              <w:spacing w:line="180" w:lineRule="exact"/>
              <w:ind w:left="0"/>
              <w:jc w:val="both"/>
              <w:textAlignment w:val="auto"/>
              <w:outlineLvl w:val="9"/>
              <w:rPr>
                <w:rFonts w:hint="eastAsia" w:ascii="Times New Roman" w:hAnsi="Times New Roman" w:eastAsia="宋体" w:cs="Times New Roman"/>
                <w:color w:val="000000"/>
                <w:sz w:val="15"/>
                <w:szCs w:val="15"/>
                <w:highlight w:val="none"/>
                <w:lang w:eastAsia="zh-CN"/>
              </w:rPr>
            </w:pPr>
            <w:r>
              <w:rPr>
                <w:rFonts w:hint="eastAsia" w:ascii="Times New Roman" w:hAnsi="Times New Roman" w:cs="Times New Roman"/>
                <w:color w:val="000000"/>
                <w:sz w:val="15"/>
                <w:szCs w:val="15"/>
                <w:highlight w:val="none"/>
                <w:lang w:eastAsia="zh-CN"/>
              </w:rPr>
              <w:t>目标</w:t>
            </w:r>
          </w:p>
          <w:p>
            <w:pPr>
              <w:keepNext w:val="0"/>
              <w:keepLines w:val="0"/>
              <w:pageBreakBefore w:val="0"/>
              <w:widowControl w:val="0"/>
              <w:kinsoku/>
              <w:wordWrap/>
              <w:overflowPunct/>
              <w:topLinePunct w:val="0"/>
              <w:autoSpaceDE/>
              <w:autoSpaceDN/>
              <w:bidi w:val="0"/>
              <w:adjustRightInd/>
              <w:snapToGrid/>
              <w:spacing w:line="180" w:lineRule="exact"/>
              <w:ind w:left="0"/>
              <w:jc w:val="both"/>
              <w:textAlignment w:val="auto"/>
              <w:outlineLvl w:val="9"/>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完成</w:t>
            </w:r>
          </w:p>
          <w:p>
            <w:pPr>
              <w:keepNext w:val="0"/>
              <w:keepLines w:val="0"/>
              <w:pageBreakBefore w:val="0"/>
              <w:widowControl w:val="0"/>
              <w:kinsoku/>
              <w:wordWrap/>
              <w:overflowPunct/>
              <w:topLinePunct w:val="0"/>
              <w:autoSpaceDE/>
              <w:autoSpaceDN/>
              <w:bidi w:val="0"/>
              <w:adjustRightInd/>
              <w:snapToGrid/>
              <w:spacing w:line="180" w:lineRule="exact"/>
              <w:ind w:left="0"/>
              <w:jc w:val="both"/>
              <w:textAlignment w:val="auto"/>
              <w:outlineLvl w:val="9"/>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情况</w:t>
            </w:r>
          </w:p>
        </w:tc>
        <w:tc>
          <w:tcPr>
            <w:tcW w:w="4344" w:type="dxa"/>
            <w:gridSpan w:val="4"/>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总体目标</w:t>
            </w:r>
          </w:p>
        </w:tc>
        <w:tc>
          <w:tcPr>
            <w:tcW w:w="3778" w:type="dxa"/>
            <w:gridSpan w:val="3"/>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06"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none"/>
              </w:rPr>
            </w:pPr>
          </w:p>
        </w:tc>
        <w:tc>
          <w:tcPr>
            <w:tcW w:w="4344" w:type="dxa"/>
            <w:gridSpan w:val="4"/>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202</w:t>
            </w:r>
            <w:r>
              <w:rPr>
                <w:rFonts w:hint="eastAsia" w:ascii="Times New Roman" w:hAnsi="Times New Roman" w:cs="Times New Roman"/>
                <w:color w:val="000000"/>
                <w:sz w:val="15"/>
                <w:szCs w:val="15"/>
                <w:highlight w:val="none"/>
                <w:lang w:val="en-US" w:eastAsia="zh-CN"/>
              </w:rPr>
              <w:t>5</w:t>
            </w:r>
            <w:r>
              <w:rPr>
                <w:rFonts w:hint="default" w:ascii="Times New Roman" w:hAnsi="Times New Roman" w:cs="Times New Roman"/>
                <w:color w:val="000000"/>
                <w:sz w:val="15"/>
                <w:szCs w:val="15"/>
                <w:highlight w:val="none"/>
              </w:rPr>
              <w:t>年度，新疆贯彻中央科技发展规划部署，落实国家创新驱动发展战略和科技改革发展政策，结合新疆科技工作实际，围绕</w:t>
            </w:r>
            <w:r>
              <w:rPr>
                <w:rFonts w:hint="eastAsia" w:ascii="Times New Roman" w:hAnsi="Times New Roman" w:cs="Times New Roman"/>
                <w:color w:val="000000"/>
                <w:sz w:val="15"/>
                <w:szCs w:val="15"/>
                <w:highlight w:val="none"/>
                <w:lang w:eastAsia="zh-CN"/>
              </w:rPr>
              <w:t>自然</w:t>
            </w:r>
            <w:r>
              <w:rPr>
                <w:rFonts w:hint="default" w:ascii="Times New Roman" w:hAnsi="Times New Roman" w:cs="Times New Roman"/>
                <w:color w:val="000000"/>
                <w:sz w:val="15"/>
                <w:szCs w:val="15"/>
                <w:highlight w:val="none"/>
              </w:rPr>
              <w:t>资源高效利用、生物医药、生态环保、社会治理等重大科技需求，以科技促进产业链创新链深度融合为重点，加快关键核心技术攻关，支持区域科技创新体系建设、科技创新基地建设、科技成果转移转化、自由探索类基础研究等四个方面项目。</w:t>
            </w:r>
          </w:p>
        </w:tc>
        <w:tc>
          <w:tcPr>
            <w:tcW w:w="3778" w:type="dxa"/>
            <w:gridSpan w:val="3"/>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202</w:t>
            </w:r>
            <w:r>
              <w:rPr>
                <w:rFonts w:hint="eastAsia" w:ascii="Times New Roman" w:hAnsi="Times New Roman" w:cs="Times New Roman"/>
                <w:color w:val="000000"/>
                <w:sz w:val="15"/>
                <w:szCs w:val="15"/>
                <w:highlight w:val="none"/>
                <w:lang w:val="en-US" w:eastAsia="zh-CN"/>
              </w:rPr>
              <w:t>5</w:t>
            </w:r>
            <w:r>
              <w:rPr>
                <w:rFonts w:hint="default" w:ascii="Times New Roman" w:hAnsi="Times New Roman" w:cs="Times New Roman"/>
                <w:color w:val="000000"/>
                <w:sz w:val="15"/>
                <w:szCs w:val="15"/>
                <w:highlight w:val="none"/>
              </w:rPr>
              <w:t>年度，新疆紧跟中央科技发展规划部署，落实国家创新驱动发展战略和科技改革发展政策，结合新疆科技工作实际，围绕</w:t>
            </w:r>
            <w:r>
              <w:rPr>
                <w:rFonts w:hint="eastAsia" w:ascii="Times New Roman" w:hAnsi="Times New Roman" w:cs="Times New Roman"/>
                <w:color w:val="000000"/>
                <w:sz w:val="15"/>
                <w:szCs w:val="15"/>
                <w:highlight w:val="none"/>
                <w:lang w:eastAsia="zh-CN"/>
              </w:rPr>
              <w:t>自然</w:t>
            </w:r>
            <w:r>
              <w:rPr>
                <w:rFonts w:hint="default" w:ascii="Times New Roman" w:hAnsi="Times New Roman" w:cs="Times New Roman"/>
                <w:color w:val="000000"/>
                <w:sz w:val="15"/>
                <w:szCs w:val="15"/>
                <w:highlight w:val="none"/>
              </w:rPr>
              <w:t>资源高效利用、生物医药、生态环保、社会治理等重大科技需求，以科技促进产业链创新链深度融合为重点，加快关键核心技术攻关，支持区域科技创新体系建设、科技创新基地建设、科技成果转移转化、自由探索类基础研究等四个方面的项目。目前，202</w:t>
            </w:r>
            <w:r>
              <w:rPr>
                <w:rFonts w:hint="eastAsia" w:ascii="Times New Roman" w:hAnsi="Times New Roman" w:cs="Times New Roman"/>
                <w:color w:val="000000"/>
                <w:sz w:val="15"/>
                <w:szCs w:val="15"/>
                <w:highlight w:val="none"/>
                <w:lang w:val="en-US" w:eastAsia="zh-CN"/>
              </w:rPr>
              <w:t>5</w:t>
            </w:r>
            <w:r>
              <w:rPr>
                <w:rFonts w:hint="default" w:ascii="Times New Roman" w:hAnsi="Times New Roman" w:cs="Times New Roman"/>
                <w:color w:val="000000"/>
                <w:sz w:val="15"/>
                <w:szCs w:val="15"/>
                <w:highlight w:val="none"/>
              </w:rPr>
              <w:t>年度中央引导地方科技发展专项项目均能按照实施方案确定的目标任务、内容、预算安排认真执行，基本完成了实施方案下达时的年度绩效目标。项目总体进展顺利，已取得了较好的经济、社会效益。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绩</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效</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指</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标</w:t>
            </w: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一级</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指标</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二级指标</w:t>
            </w:r>
          </w:p>
        </w:tc>
        <w:tc>
          <w:tcPr>
            <w:tcW w:w="3044" w:type="dxa"/>
            <w:gridSpan w:val="2"/>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三级指标</w:t>
            </w:r>
          </w:p>
        </w:tc>
        <w:tc>
          <w:tcPr>
            <w:tcW w:w="1081"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指标值</w:t>
            </w:r>
          </w:p>
        </w:tc>
        <w:tc>
          <w:tcPr>
            <w:tcW w:w="800" w:type="dxa"/>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全年实际完</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成值</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未完成原因和改进措施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eastAsia" w:ascii="Times New Roman" w:hAnsi="Times New Roman" w:cs="Times New Roman"/>
                <w:color w:val="000000"/>
                <w:sz w:val="15"/>
                <w:szCs w:val="15"/>
                <w:highlight w:val="none"/>
                <w:lang w:eastAsia="zh-CN"/>
              </w:rPr>
            </w:pPr>
            <w:r>
              <w:rPr>
                <w:rFonts w:hint="eastAsia" w:ascii="Times New Roman" w:hAnsi="Times New Roman" w:cs="Times New Roman"/>
                <w:color w:val="000000"/>
                <w:sz w:val="15"/>
                <w:szCs w:val="15"/>
                <w:highlight w:val="none"/>
                <w:lang w:eastAsia="zh-CN"/>
              </w:rPr>
              <w:t>产</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eastAsia" w:ascii="Times New Roman" w:hAnsi="Times New Roman" w:cs="Times New Roman"/>
                <w:color w:val="000000"/>
                <w:sz w:val="15"/>
                <w:szCs w:val="15"/>
                <w:highlight w:val="none"/>
                <w:lang w:eastAsia="zh-CN"/>
              </w:rPr>
            </w:pPr>
            <w:r>
              <w:rPr>
                <w:rFonts w:hint="eastAsia" w:ascii="Times New Roman" w:hAnsi="Times New Roman" w:cs="Times New Roman"/>
                <w:color w:val="000000"/>
                <w:sz w:val="15"/>
                <w:szCs w:val="15"/>
                <w:highlight w:val="none"/>
                <w:lang w:eastAsia="zh-CN"/>
              </w:rPr>
              <w:t>出</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eastAsia" w:ascii="Times New Roman" w:hAnsi="Times New Roman" w:cs="Times New Roman"/>
                <w:color w:val="000000"/>
                <w:sz w:val="15"/>
                <w:szCs w:val="15"/>
                <w:highlight w:val="none"/>
                <w:lang w:eastAsia="zh-CN"/>
              </w:rPr>
            </w:pPr>
            <w:r>
              <w:rPr>
                <w:rFonts w:hint="eastAsia" w:ascii="Times New Roman" w:hAnsi="Times New Roman" w:cs="Times New Roman"/>
                <w:color w:val="000000"/>
                <w:sz w:val="15"/>
                <w:szCs w:val="15"/>
                <w:highlight w:val="none"/>
                <w:lang w:eastAsia="zh-CN"/>
              </w:rPr>
              <w:t>指</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eastAsia" w:ascii="Times New Roman" w:hAnsi="Times New Roman" w:eastAsia="宋体" w:cs="Times New Roman"/>
                <w:color w:val="000000"/>
                <w:sz w:val="15"/>
                <w:szCs w:val="15"/>
                <w:highlight w:val="none"/>
                <w:lang w:eastAsia="zh-CN"/>
              </w:rPr>
            </w:pPr>
            <w:r>
              <w:rPr>
                <w:rFonts w:hint="eastAsia" w:ascii="Times New Roman" w:hAnsi="Times New Roman" w:cs="Times New Roman"/>
                <w:color w:val="000000"/>
                <w:sz w:val="15"/>
                <w:szCs w:val="15"/>
                <w:highlight w:val="none"/>
                <w:lang w:eastAsia="zh-CN"/>
              </w:rPr>
              <w:t>标</w:t>
            </w:r>
          </w:p>
        </w:tc>
        <w:tc>
          <w:tcPr>
            <w:tcW w:w="7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eastAsia" w:ascii="Times New Roman" w:hAnsi="Times New Roman" w:eastAsia="宋体" w:cs="Times New Roman"/>
                <w:color w:val="000000"/>
                <w:sz w:val="15"/>
                <w:szCs w:val="15"/>
                <w:highlight w:val="none"/>
                <w:lang w:eastAsia="zh-CN"/>
              </w:rPr>
            </w:pPr>
            <w:r>
              <w:rPr>
                <w:rFonts w:hint="eastAsia" w:ascii="Times New Roman" w:hAnsi="Times New Roman" w:cs="Times New Roman"/>
                <w:color w:val="000000"/>
                <w:sz w:val="15"/>
                <w:szCs w:val="15"/>
                <w:highlight w:val="none"/>
                <w:lang w:eastAsia="zh-CN"/>
              </w:rPr>
              <w:t>数量指标</w:t>
            </w:r>
          </w:p>
        </w:tc>
        <w:tc>
          <w:tcPr>
            <w:tcW w:w="3044" w:type="dxa"/>
            <w:gridSpan w:val="2"/>
            <w:noWrap w:val="0"/>
            <w:vAlign w:val="center"/>
          </w:tcPr>
          <w:p>
            <w:pPr>
              <w:keepNext w:val="0"/>
              <w:keepLines w:val="0"/>
              <w:widowControl/>
              <w:suppressLineNumbers w:val="0"/>
              <w:spacing w:line="180" w:lineRule="exact"/>
              <w:jc w:val="left"/>
              <w:textAlignment w:val="auto"/>
              <w:rPr>
                <w:rFonts w:hint="default" w:ascii="Times New Roman" w:hAnsi="Times New Roman" w:eastAsia="宋体" w:cs="Times New Roman"/>
                <w:i w:val="0"/>
                <w:color w:val="000000"/>
                <w:sz w:val="15"/>
                <w:szCs w:val="15"/>
                <w:highlight w:val="none"/>
                <w:u w:val="none"/>
                <w:lang w:val="en-US" w:eastAsia="zh-CN" w:bidi="ar"/>
              </w:rPr>
            </w:pPr>
            <w:r>
              <w:rPr>
                <w:rFonts w:hint="eastAsia" w:ascii="Times New Roman" w:hAnsi="Times New Roman" w:cs="Times New Roman"/>
                <w:i w:val="0"/>
                <w:color w:val="000000"/>
                <w:sz w:val="15"/>
                <w:szCs w:val="15"/>
                <w:highlight w:val="none"/>
                <w:u w:val="none"/>
                <w:lang w:val="en-US" w:eastAsia="zh-CN" w:bidi="ar"/>
              </w:rPr>
              <w:t>支持自由探索类基础研究项目数量</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≥32项</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33项</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eastAsia" w:ascii="Times New Roman" w:hAnsi="Times New Roman" w:eastAsia="宋体" w:cs="Times New Roman"/>
                <w:color w:val="000000"/>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3044" w:type="dxa"/>
            <w:gridSpan w:val="2"/>
            <w:tcBorders>
              <w:bottom w:val="nil"/>
            </w:tcBorders>
            <w:noWrap w:val="0"/>
            <w:vAlign w:val="center"/>
          </w:tcPr>
          <w:p>
            <w:pPr>
              <w:keepNext w:val="0"/>
              <w:keepLines w:val="0"/>
              <w:widowControl/>
              <w:suppressLineNumbers w:val="0"/>
              <w:spacing w:line="180" w:lineRule="exact"/>
              <w:jc w:val="left"/>
              <w:textAlignment w:val="auto"/>
              <w:rPr>
                <w:rFonts w:hint="default" w:ascii="Times New Roman" w:hAnsi="Times New Roman" w:eastAsia="宋体" w:cs="Times New Roman"/>
                <w:i w:val="0"/>
                <w:color w:val="000000"/>
                <w:sz w:val="15"/>
                <w:szCs w:val="15"/>
                <w:highlight w:val="none"/>
                <w:u w:val="none"/>
                <w:lang w:val="en-US" w:eastAsia="zh-CN" w:bidi="ar"/>
              </w:rPr>
            </w:pPr>
            <w:r>
              <w:rPr>
                <w:rFonts w:hint="default" w:ascii="Times New Roman" w:hAnsi="Times New Roman" w:eastAsia="宋体" w:cs="Times New Roman"/>
                <w:i w:val="0"/>
                <w:iCs w:val="0"/>
                <w:color w:val="000000"/>
                <w:kern w:val="0"/>
                <w:sz w:val="15"/>
                <w:szCs w:val="15"/>
                <w:highlight w:val="none"/>
                <w:u w:val="none"/>
                <w:lang w:val="en-US" w:eastAsia="zh-CN" w:bidi="ar"/>
              </w:rPr>
              <w:t>支持建设科技创新基地项目数量</w:t>
            </w:r>
          </w:p>
        </w:tc>
        <w:tc>
          <w:tcPr>
            <w:tcW w:w="1081" w:type="dxa"/>
            <w:tcBorders>
              <w:bottom w:val="nil"/>
            </w:tcBorders>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≥18项</w:t>
            </w:r>
          </w:p>
        </w:tc>
        <w:tc>
          <w:tcPr>
            <w:tcW w:w="800" w:type="dxa"/>
            <w:tcBorders>
              <w:bottom w:val="nil"/>
            </w:tcBorders>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30项</w:t>
            </w:r>
          </w:p>
        </w:tc>
        <w:tc>
          <w:tcPr>
            <w:tcW w:w="1897" w:type="dxa"/>
            <w:tcBorders>
              <w:bottom w:val="nil"/>
            </w:tcBorders>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3044" w:type="dxa"/>
            <w:gridSpan w:val="2"/>
            <w:noWrap w:val="0"/>
            <w:vAlign w:val="center"/>
          </w:tcPr>
          <w:p>
            <w:pPr>
              <w:keepNext w:val="0"/>
              <w:keepLines w:val="0"/>
              <w:widowControl/>
              <w:suppressLineNumbers w:val="0"/>
              <w:spacing w:line="180" w:lineRule="exact"/>
              <w:jc w:val="left"/>
              <w:textAlignment w:val="auto"/>
              <w:rPr>
                <w:rFonts w:hint="default" w:ascii="Times New Roman" w:hAnsi="Times New Roman" w:eastAsia="宋体" w:cs="Times New Roman"/>
                <w:i w:val="0"/>
                <w:color w:val="000000"/>
                <w:sz w:val="15"/>
                <w:szCs w:val="15"/>
                <w:highlight w:val="none"/>
                <w:u w:val="none"/>
                <w:lang w:val="en-US" w:eastAsia="zh-CN" w:bidi="ar"/>
              </w:rPr>
            </w:pPr>
            <w:r>
              <w:rPr>
                <w:rFonts w:hint="default" w:ascii="Times New Roman" w:hAnsi="Times New Roman" w:eastAsia="宋体" w:cs="Times New Roman"/>
                <w:i w:val="0"/>
                <w:iCs w:val="0"/>
                <w:color w:val="000000"/>
                <w:kern w:val="0"/>
                <w:sz w:val="15"/>
                <w:szCs w:val="15"/>
                <w:highlight w:val="none"/>
                <w:u w:val="none"/>
                <w:lang w:val="en-US" w:eastAsia="zh-CN" w:bidi="ar"/>
              </w:rPr>
              <w:t>转化科技成果数量</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≥65项</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15"/>
                <w:szCs w:val="15"/>
                <w:highlight w:val="none"/>
                <w:u w:val="none"/>
                <w:lang w:val="en-US" w:eastAsia="zh-CN" w:bidi="ar"/>
              </w:rPr>
              <w:t>82</w:t>
            </w:r>
            <w:r>
              <w:rPr>
                <w:rFonts w:hint="eastAsia" w:ascii="宋体" w:hAnsi="宋体" w:eastAsia="宋体" w:cs="宋体"/>
                <w:i w:val="0"/>
                <w:iCs w:val="0"/>
                <w:color w:val="000000"/>
                <w:kern w:val="0"/>
                <w:sz w:val="15"/>
                <w:szCs w:val="15"/>
                <w:highlight w:val="none"/>
                <w:u w:val="none"/>
                <w:lang w:val="en-US" w:eastAsia="zh-CN" w:bidi="ar"/>
              </w:rPr>
              <w:t>项</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3044" w:type="dxa"/>
            <w:gridSpan w:val="2"/>
            <w:noWrap w:val="0"/>
            <w:vAlign w:val="center"/>
          </w:tcPr>
          <w:p>
            <w:pPr>
              <w:keepNext w:val="0"/>
              <w:keepLines w:val="0"/>
              <w:widowControl/>
              <w:suppressLineNumbers w:val="0"/>
              <w:spacing w:line="180" w:lineRule="exact"/>
              <w:jc w:val="left"/>
              <w:textAlignment w:val="auto"/>
              <w:rPr>
                <w:rFonts w:hint="default" w:ascii="Times New Roman" w:hAnsi="Times New Roman" w:eastAsia="宋体" w:cs="Times New Roman"/>
                <w:color w:val="000000"/>
                <w:sz w:val="15"/>
                <w:szCs w:val="15"/>
                <w:highlight w:val="none"/>
                <w:lang w:eastAsia="zh-CN"/>
              </w:rPr>
            </w:pPr>
            <w:r>
              <w:rPr>
                <w:rFonts w:hint="default" w:ascii="Times New Roman" w:hAnsi="Times New Roman" w:eastAsia="宋体" w:cs="Times New Roman"/>
                <w:i w:val="0"/>
                <w:iCs w:val="0"/>
                <w:color w:val="000000"/>
                <w:kern w:val="0"/>
                <w:sz w:val="15"/>
                <w:szCs w:val="15"/>
                <w:highlight w:val="none"/>
                <w:u w:val="none"/>
                <w:lang w:val="en-US" w:eastAsia="zh-CN" w:bidi="ar"/>
              </w:rPr>
              <w:t>支持东西部科技合作及区域协同创新项目数量</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≥41项</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15"/>
                <w:szCs w:val="15"/>
                <w:highlight w:val="none"/>
                <w:u w:val="none"/>
                <w:lang w:val="en-US" w:eastAsia="zh-CN" w:bidi="ar"/>
              </w:rPr>
              <w:t>45</w:t>
            </w:r>
            <w:r>
              <w:rPr>
                <w:rFonts w:hint="eastAsia" w:ascii="宋体" w:hAnsi="宋体" w:eastAsia="宋体" w:cs="宋体"/>
                <w:i w:val="0"/>
                <w:iCs w:val="0"/>
                <w:color w:val="000000"/>
                <w:kern w:val="0"/>
                <w:sz w:val="15"/>
                <w:szCs w:val="15"/>
                <w:highlight w:val="none"/>
                <w:u w:val="none"/>
                <w:lang w:val="en-US" w:eastAsia="zh-CN" w:bidi="ar"/>
              </w:rPr>
              <w:t>项</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eastAsia="宋体" w:cs="Times New Roman"/>
                <w:color w:val="000000"/>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leftChars="0"/>
              <w:jc w:val="center"/>
              <w:textAlignment w:val="auto"/>
              <w:outlineLvl w:val="9"/>
              <w:rPr>
                <w:rFonts w:hint="default" w:ascii="Times New Roman" w:hAnsi="Times New Roman" w:eastAsia="宋体" w:cs="Times New Roman"/>
                <w:color w:val="000000"/>
                <w:sz w:val="15"/>
                <w:szCs w:val="15"/>
                <w:highlight w:val="none"/>
              </w:rPr>
            </w:pPr>
            <w:r>
              <w:rPr>
                <w:rFonts w:hint="default" w:ascii="Times New Roman" w:hAnsi="Times New Roman" w:eastAsia="宋体" w:cs="Times New Roman"/>
                <w:color w:val="000000"/>
                <w:sz w:val="15"/>
                <w:szCs w:val="15"/>
                <w:highlight w:val="none"/>
              </w:rPr>
              <w:t>时效指标</w:t>
            </w:r>
          </w:p>
        </w:tc>
        <w:tc>
          <w:tcPr>
            <w:tcW w:w="3044" w:type="dxa"/>
            <w:gridSpan w:val="2"/>
            <w:noWrap w:val="0"/>
            <w:vAlign w:val="center"/>
          </w:tcPr>
          <w:p>
            <w:pPr>
              <w:keepNext w:val="0"/>
              <w:keepLines w:val="0"/>
              <w:pageBreakBefore w:val="0"/>
              <w:kinsoku/>
              <w:wordWrap/>
              <w:overflowPunct/>
              <w:topLinePunct w:val="0"/>
              <w:autoSpaceDE/>
              <w:autoSpaceDN/>
              <w:bidi w:val="0"/>
              <w:adjustRightInd/>
              <w:snapToGrid/>
              <w:spacing w:line="180" w:lineRule="exact"/>
              <w:ind w:left="0" w:leftChars="0"/>
              <w:jc w:val="left"/>
              <w:rPr>
                <w:rFonts w:hint="default" w:ascii="Times New Roman" w:hAnsi="Times New Roman" w:cs="Times New Roman"/>
                <w:color w:val="000000"/>
                <w:sz w:val="15"/>
                <w:szCs w:val="15"/>
                <w:highlight w:val="none"/>
                <w:lang w:eastAsia="zh-CN"/>
              </w:rPr>
            </w:pPr>
            <w:r>
              <w:rPr>
                <w:rFonts w:hint="default" w:ascii="Times New Roman" w:hAnsi="Times New Roman" w:cs="Times New Roman"/>
                <w:color w:val="000000"/>
                <w:sz w:val="15"/>
                <w:szCs w:val="15"/>
                <w:highlight w:val="none"/>
                <w:lang w:eastAsia="zh-CN"/>
              </w:rPr>
              <w:t>资金拨付及时率</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75%</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100%</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leftChars="0"/>
              <w:jc w:val="both"/>
              <w:rPr>
                <w:rFonts w:hint="default" w:ascii="Times New Roman" w:hAnsi="Times New Roman" w:eastAsia="宋体" w:cs="Times New Roman"/>
                <w:color w:val="000000"/>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效</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益</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指</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标</w:t>
            </w:r>
          </w:p>
        </w:tc>
        <w:tc>
          <w:tcPr>
            <w:tcW w:w="7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eastAsia="宋体" w:cs="Times New Roman"/>
                <w:color w:val="000000"/>
                <w:sz w:val="15"/>
                <w:szCs w:val="15"/>
                <w:highlight w:val="none"/>
              </w:rPr>
            </w:pPr>
            <w:r>
              <w:rPr>
                <w:rFonts w:hint="default" w:ascii="Times New Roman" w:hAnsi="Times New Roman" w:eastAsia="宋体" w:cs="Times New Roman"/>
                <w:color w:val="000000"/>
                <w:sz w:val="15"/>
                <w:szCs w:val="15"/>
                <w:highlight w:val="none"/>
              </w:rPr>
              <w:t>经济效益</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指标</w:t>
            </w:r>
          </w:p>
        </w:tc>
        <w:tc>
          <w:tcPr>
            <w:tcW w:w="3044" w:type="dxa"/>
            <w:gridSpan w:val="2"/>
            <w:noWrap w:val="0"/>
            <w:vAlign w:val="center"/>
          </w:tcPr>
          <w:p>
            <w:pPr>
              <w:keepNext w:val="0"/>
              <w:keepLines w:val="0"/>
              <w:widowControl/>
              <w:suppressLineNumbers w:val="0"/>
              <w:spacing w:line="180" w:lineRule="exact"/>
              <w:jc w:val="left"/>
              <w:textAlignment w:val="auto"/>
              <w:rPr>
                <w:rFonts w:hint="default" w:ascii="Times New Roman" w:hAnsi="Times New Roman" w:eastAsia="宋体" w:cs="Times New Roman"/>
                <w:i w:val="0"/>
                <w:color w:val="000000"/>
                <w:sz w:val="15"/>
                <w:szCs w:val="15"/>
                <w:highlight w:val="none"/>
                <w:u w:val="none"/>
                <w:lang w:eastAsia="zh-CN"/>
              </w:rPr>
            </w:pPr>
            <w:r>
              <w:rPr>
                <w:rFonts w:hint="default" w:ascii="Times New Roman" w:hAnsi="Times New Roman" w:eastAsia="宋体" w:cs="Times New Roman"/>
                <w:i w:val="0"/>
                <w:iCs w:val="0"/>
                <w:color w:val="000000"/>
                <w:kern w:val="0"/>
                <w:sz w:val="15"/>
                <w:szCs w:val="15"/>
                <w:highlight w:val="none"/>
                <w:u w:val="none"/>
                <w:lang w:val="en-US" w:eastAsia="zh-CN" w:bidi="ar"/>
              </w:rPr>
              <w:t>带动社会投入与引导资金投入比例</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2.19</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17"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3044" w:type="dxa"/>
            <w:gridSpan w:val="2"/>
            <w:noWrap w:val="0"/>
            <w:vAlign w:val="center"/>
          </w:tcPr>
          <w:p>
            <w:pPr>
              <w:keepNext w:val="0"/>
              <w:keepLines w:val="0"/>
              <w:widowControl/>
              <w:suppressLineNumbers w:val="0"/>
              <w:spacing w:line="180" w:lineRule="exact"/>
              <w:jc w:val="left"/>
              <w:textAlignment w:val="auto"/>
              <w:rPr>
                <w:rFonts w:hint="default" w:ascii="Times New Roman" w:hAnsi="Times New Roman" w:eastAsia="宋体" w:cs="Times New Roman"/>
                <w:i w:val="0"/>
                <w:color w:val="000000"/>
                <w:sz w:val="15"/>
                <w:szCs w:val="15"/>
                <w:highlight w:val="none"/>
                <w:u w:val="none"/>
                <w:lang w:eastAsia="zh-CN"/>
              </w:rPr>
            </w:pPr>
            <w:r>
              <w:rPr>
                <w:rFonts w:hint="default" w:ascii="Times New Roman" w:hAnsi="Times New Roman" w:eastAsia="宋体" w:cs="Times New Roman"/>
                <w:i w:val="0"/>
                <w:iCs w:val="0"/>
                <w:color w:val="000000"/>
                <w:kern w:val="0"/>
                <w:sz w:val="15"/>
                <w:szCs w:val="15"/>
                <w:highlight w:val="none"/>
                <w:u w:val="none"/>
                <w:lang w:val="en-US" w:eastAsia="zh-CN" w:bidi="ar"/>
              </w:rPr>
              <w:t>支持高新技术企业数量</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≥42家</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39家</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eastAsia="宋体" w:cs="Times New Roman"/>
                <w:color w:val="000000"/>
                <w:sz w:val="15"/>
                <w:szCs w:val="15"/>
                <w:highlight w:val="none"/>
                <w:lang w:val="en-US" w:eastAsia="zh-CN"/>
              </w:rPr>
            </w:pPr>
            <w:r>
              <w:rPr>
                <w:rFonts w:hint="eastAsia" w:ascii="Times New Roman" w:hAnsi="Times New Roman" w:cs="Times New Roman"/>
                <w:color w:val="000000"/>
                <w:sz w:val="15"/>
                <w:szCs w:val="15"/>
                <w:highlight w:val="none"/>
                <w:lang w:val="en-US" w:eastAsia="zh-CN"/>
              </w:rPr>
              <w:t>近两年，根据自治区党委政府部署，自治区科技厅加强了对科技创新基地建设支持力度，</w:t>
            </w:r>
            <w:r>
              <w:rPr>
                <w:rFonts w:hint="default" w:ascii="Times New Roman" w:hAnsi="Times New Roman" w:eastAsia="宋体" w:cs="Times New Roman"/>
                <w:i w:val="0"/>
                <w:iCs w:val="0"/>
                <w:color w:val="000000"/>
                <w:kern w:val="0"/>
                <w:sz w:val="15"/>
                <w:szCs w:val="15"/>
                <w:highlight w:val="none"/>
                <w:u w:val="none"/>
                <w:lang w:val="en-US" w:eastAsia="zh-CN" w:bidi="ar"/>
              </w:rPr>
              <w:t>支持建设科技创新基地项目数量</w:t>
            </w:r>
            <w:r>
              <w:rPr>
                <w:rFonts w:hint="eastAsia" w:ascii="Times New Roman" w:hAnsi="Times New Roman" w:cs="Times New Roman"/>
                <w:i w:val="0"/>
                <w:iCs w:val="0"/>
                <w:color w:val="000000"/>
                <w:kern w:val="0"/>
                <w:sz w:val="15"/>
                <w:szCs w:val="15"/>
                <w:highlight w:val="none"/>
                <w:u w:val="none"/>
                <w:lang w:val="en-US" w:eastAsia="zh-CN" w:bidi="ar"/>
              </w:rPr>
              <w:t>大幅增加，导致支持高新技术企业的项目数量有所减少。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6"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3044" w:type="dxa"/>
            <w:gridSpan w:val="2"/>
            <w:noWrap w:val="0"/>
            <w:vAlign w:val="center"/>
          </w:tcPr>
          <w:p>
            <w:pPr>
              <w:keepNext w:val="0"/>
              <w:keepLines w:val="0"/>
              <w:widowControl/>
              <w:suppressLineNumbers w:val="0"/>
              <w:spacing w:line="180" w:lineRule="exact"/>
              <w:jc w:val="left"/>
              <w:textAlignment w:val="auto"/>
              <w:rPr>
                <w:rFonts w:hint="default" w:ascii="Times New Roman" w:hAnsi="Times New Roman" w:eastAsia="宋体" w:cs="Times New Roman"/>
                <w:i w:val="0"/>
                <w:color w:val="000000"/>
                <w:sz w:val="15"/>
                <w:szCs w:val="15"/>
                <w:highlight w:val="none"/>
                <w:u w:val="none"/>
                <w:lang w:val="en-US" w:eastAsia="zh-CN"/>
              </w:rPr>
            </w:pPr>
            <w:r>
              <w:rPr>
                <w:rFonts w:hint="default" w:ascii="Times New Roman" w:hAnsi="Times New Roman" w:eastAsia="宋体" w:cs="Times New Roman"/>
                <w:i w:val="0"/>
                <w:iCs w:val="0"/>
                <w:color w:val="000000"/>
                <w:kern w:val="0"/>
                <w:sz w:val="15"/>
                <w:szCs w:val="15"/>
                <w:highlight w:val="none"/>
                <w:u w:val="none"/>
                <w:lang w:val="en-US" w:eastAsia="zh-CN" w:bidi="ar"/>
              </w:rPr>
              <w:t>支持科技型中小企业数量</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≥28家</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27家</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none"/>
              </w:rPr>
            </w:pPr>
            <w:r>
              <w:rPr>
                <w:rFonts w:hint="eastAsia" w:ascii="Times New Roman" w:hAnsi="Times New Roman" w:cs="Times New Roman"/>
                <w:color w:val="000000"/>
                <w:sz w:val="15"/>
                <w:szCs w:val="15"/>
                <w:highlight w:val="none"/>
                <w:lang w:val="en-US" w:eastAsia="zh-CN"/>
              </w:rPr>
              <w:t>近两年，根据自治区党委政府部署，自治区科技厅加强了对科技创新基地建设支持力度，</w:t>
            </w:r>
            <w:r>
              <w:rPr>
                <w:rFonts w:hint="default" w:ascii="Times New Roman" w:hAnsi="Times New Roman" w:eastAsia="宋体" w:cs="Times New Roman"/>
                <w:i w:val="0"/>
                <w:iCs w:val="0"/>
                <w:color w:val="000000"/>
                <w:kern w:val="0"/>
                <w:sz w:val="15"/>
                <w:szCs w:val="15"/>
                <w:highlight w:val="none"/>
                <w:u w:val="none"/>
                <w:lang w:val="en-US" w:eastAsia="zh-CN" w:bidi="ar"/>
              </w:rPr>
              <w:t>支持建设科技创新基地项目数量</w:t>
            </w:r>
            <w:r>
              <w:rPr>
                <w:rFonts w:hint="eastAsia" w:ascii="Times New Roman" w:hAnsi="Times New Roman" w:cs="Times New Roman"/>
                <w:i w:val="0"/>
                <w:iCs w:val="0"/>
                <w:color w:val="000000"/>
                <w:kern w:val="0"/>
                <w:sz w:val="15"/>
                <w:szCs w:val="15"/>
                <w:highlight w:val="none"/>
                <w:u w:val="none"/>
                <w:lang w:val="en-US" w:eastAsia="zh-CN" w:bidi="ar"/>
              </w:rPr>
              <w:t>大幅增加，导致支持科技型中小企业的项目数量有所减少。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8"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3044" w:type="dxa"/>
            <w:gridSpan w:val="2"/>
            <w:noWrap w:val="0"/>
            <w:vAlign w:val="center"/>
          </w:tcPr>
          <w:p>
            <w:pPr>
              <w:keepNext w:val="0"/>
              <w:keepLines w:val="0"/>
              <w:widowControl/>
              <w:suppressLineNumbers w:val="0"/>
              <w:spacing w:line="180" w:lineRule="exact"/>
              <w:jc w:val="left"/>
              <w:textAlignment w:val="auto"/>
              <w:rPr>
                <w:rFonts w:hint="default" w:ascii="Times New Roman" w:hAnsi="Times New Roman" w:eastAsia="宋体" w:cs="Times New Roman"/>
                <w:i w:val="0"/>
                <w:color w:val="000000"/>
                <w:sz w:val="15"/>
                <w:szCs w:val="15"/>
                <w:highlight w:val="none"/>
                <w:u w:val="none"/>
                <w:lang w:val="en-US" w:eastAsia="zh-CN"/>
              </w:rPr>
            </w:pPr>
            <w:r>
              <w:rPr>
                <w:rFonts w:hint="default" w:ascii="Times New Roman" w:hAnsi="Times New Roman" w:eastAsia="宋体" w:cs="Times New Roman"/>
                <w:i w:val="0"/>
                <w:iCs w:val="0"/>
                <w:color w:val="000000"/>
                <w:kern w:val="0"/>
                <w:sz w:val="15"/>
                <w:szCs w:val="15"/>
                <w:highlight w:val="none"/>
                <w:u w:val="none"/>
                <w:lang w:val="en-US" w:eastAsia="zh-CN" w:bidi="ar"/>
              </w:rPr>
              <w:t>促进技术合同成交额</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≥28166万元</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29</w:t>
            </w:r>
            <w:r>
              <w:rPr>
                <w:rFonts w:hint="eastAsia" w:ascii="宋体" w:hAnsi="宋体" w:cs="宋体"/>
                <w:i w:val="0"/>
                <w:iCs w:val="0"/>
                <w:color w:val="000000"/>
                <w:kern w:val="0"/>
                <w:sz w:val="15"/>
                <w:szCs w:val="15"/>
                <w:highlight w:val="none"/>
                <w:u w:val="none"/>
                <w:lang w:val="en-US" w:eastAsia="zh-CN" w:bidi="ar"/>
              </w:rPr>
              <w:t>442.78</w:t>
            </w:r>
            <w:r>
              <w:rPr>
                <w:rFonts w:hint="eastAsia" w:ascii="宋体" w:hAnsi="宋体" w:eastAsia="宋体" w:cs="宋体"/>
                <w:i w:val="0"/>
                <w:iCs w:val="0"/>
                <w:color w:val="000000"/>
                <w:kern w:val="0"/>
                <w:sz w:val="15"/>
                <w:szCs w:val="15"/>
                <w:highlight w:val="none"/>
                <w:u w:val="none"/>
                <w:lang w:val="en-US" w:eastAsia="zh-CN" w:bidi="ar"/>
              </w:rPr>
              <w:t>万元</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3044" w:type="dxa"/>
            <w:gridSpan w:val="2"/>
            <w:noWrap w:val="0"/>
            <w:vAlign w:val="center"/>
          </w:tcPr>
          <w:p>
            <w:pPr>
              <w:keepNext w:val="0"/>
              <w:keepLines w:val="0"/>
              <w:widowControl/>
              <w:suppressLineNumbers w:val="0"/>
              <w:spacing w:line="180" w:lineRule="exact"/>
              <w:jc w:val="left"/>
              <w:textAlignment w:val="auto"/>
              <w:rPr>
                <w:rFonts w:hint="default" w:ascii="Times New Roman" w:hAnsi="Times New Roman" w:eastAsia="宋体" w:cs="Times New Roman"/>
                <w:i w:val="0"/>
                <w:color w:val="000000"/>
                <w:sz w:val="15"/>
                <w:szCs w:val="15"/>
                <w:highlight w:val="none"/>
                <w:u w:val="none"/>
                <w:lang w:val="en-US" w:eastAsia="zh-CN"/>
              </w:rPr>
            </w:pPr>
            <w:r>
              <w:rPr>
                <w:rFonts w:hint="default" w:ascii="Times New Roman" w:hAnsi="Times New Roman" w:eastAsia="宋体" w:cs="Times New Roman"/>
                <w:i w:val="0"/>
                <w:iCs w:val="0"/>
                <w:color w:val="000000"/>
                <w:kern w:val="0"/>
                <w:sz w:val="15"/>
                <w:szCs w:val="15"/>
                <w:highlight w:val="none"/>
                <w:u w:val="none"/>
                <w:lang w:val="en-US" w:eastAsia="zh-CN" w:bidi="ar"/>
              </w:rPr>
              <w:t>带动地方投入东西科技合作及区域协同创新资金</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≥5633万元</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15"/>
                <w:szCs w:val="15"/>
                <w:highlight w:val="none"/>
                <w:u w:val="none"/>
                <w:lang w:val="en-US" w:eastAsia="zh-CN" w:bidi="ar"/>
              </w:rPr>
              <w:t>5903</w:t>
            </w:r>
            <w:r>
              <w:rPr>
                <w:rFonts w:hint="eastAsia" w:ascii="宋体" w:hAnsi="宋体" w:eastAsia="宋体" w:cs="宋体"/>
                <w:i w:val="0"/>
                <w:iCs w:val="0"/>
                <w:color w:val="000000"/>
                <w:kern w:val="0"/>
                <w:sz w:val="15"/>
                <w:szCs w:val="15"/>
                <w:highlight w:val="none"/>
                <w:u w:val="none"/>
                <w:lang w:val="en-US" w:eastAsia="zh-CN" w:bidi="ar"/>
              </w:rPr>
              <w:t>万元</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76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社会效益</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指标</w:t>
            </w:r>
          </w:p>
        </w:tc>
        <w:tc>
          <w:tcPr>
            <w:tcW w:w="3044" w:type="dxa"/>
            <w:gridSpan w:val="2"/>
            <w:noWrap w:val="0"/>
            <w:vAlign w:val="center"/>
          </w:tcPr>
          <w:p>
            <w:pPr>
              <w:keepNext w:val="0"/>
              <w:keepLines w:val="0"/>
              <w:widowControl/>
              <w:suppressLineNumbers w:val="0"/>
              <w:jc w:val="left"/>
              <w:textAlignment w:val="center"/>
              <w:rPr>
                <w:rFonts w:hint="default" w:ascii="宋体" w:hAnsi="宋体" w:eastAsia="宋体" w:cs="宋体"/>
                <w:i w:val="0"/>
                <w:color w:val="000000"/>
                <w:sz w:val="15"/>
                <w:szCs w:val="15"/>
                <w:highlight w:val="none"/>
                <w:u w:val="none"/>
                <w:lang w:val="en-US" w:eastAsia="zh-CN"/>
              </w:rPr>
            </w:pPr>
            <w:r>
              <w:rPr>
                <w:rFonts w:hint="eastAsia" w:ascii="宋体" w:hAnsi="宋体" w:eastAsia="宋体" w:cs="宋体"/>
                <w:i w:val="0"/>
                <w:color w:val="000000"/>
                <w:sz w:val="15"/>
                <w:szCs w:val="15"/>
                <w:highlight w:val="none"/>
                <w:u w:val="none"/>
                <w:lang w:val="en-US" w:eastAsia="zh-CN"/>
              </w:rPr>
              <w:t>区域科技创新能力</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稳步提升</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稳步提升</w:t>
            </w:r>
          </w:p>
        </w:tc>
        <w:tc>
          <w:tcPr>
            <w:tcW w:w="1897" w:type="dxa"/>
            <w:noWrap w:val="0"/>
            <w:vAlign w:val="center"/>
          </w:tcPr>
          <w:p>
            <w:pPr>
              <w:keepNext w:val="0"/>
              <w:keepLines w:val="0"/>
              <w:widowControl/>
              <w:suppressLineNumbers w:val="0"/>
              <w:jc w:val="both"/>
              <w:textAlignment w:val="center"/>
              <w:rPr>
                <w:rFonts w:hint="default" w:ascii="Times New Roman" w:hAnsi="Times New Roman" w:cs="Times New Roman"/>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eastAsia="宋体" w:cs="Times New Roman"/>
                <w:color w:val="000000"/>
                <w:sz w:val="15"/>
                <w:szCs w:val="15"/>
                <w:highlight w:val="none"/>
              </w:rPr>
            </w:pPr>
          </w:p>
        </w:tc>
        <w:tc>
          <w:tcPr>
            <w:tcW w:w="3044"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15"/>
                <w:szCs w:val="15"/>
                <w:highlight w:val="none"/>
                <w:u w:val="none"/>
                <w:lang w:val="en-US" w:eastAsia="zh-CN"/>
              </w:rPr>
            </w:pPr>
            <w:r>
              <w:rPr>
                <w:rFonts w:hint="eastAsia" w:ascii="宋体" w:hAnsi="宋体" w:eastAsia="宋体" w:cs="宋体"/>
                <w:i w:val="0"/>
                <w:color w:val="000000"/>
                <w:sz w:val="15"/>
                <w:szCs w:val="15"/>
                <w:highlight w:val="none"/>
                <w:u w:val="none"/>
                <w:lang w:val="en-US" w:eastAsia="zh-CN"/>
              </w:rPr>
              <w:t>培训从事技术创新服务人员数量</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≥6478人次</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cs="宋体"/>
                <w:i w:val="0"/>
                <w:iCs w:val="0"/>
                <w:color w:val="000000"/>
                <w:kern w:val="0"/>
                <w:sz w:val="15"/>
                <w:szCs w:val="15"/>
                <w:highlight w:val="none"/>
                <w:u w:val="none"/>
                <w:lang w:val="en-US" w:eastAsia="zh-CN" w:bidi="ar"/>
              </w:rPr>
              <w:t>7776</w:t>
            </w:r>
            <w:r>
              <w:rPr>
                <w:rFonts w:hint="eastAsia" w:ascii="宋体" w:hAnsi="宋体" w:eastAsia="宋体" w:cs="宋体"/>
                <w:i w:val="0"/>
                <w:iCs w:val="0"/>
                <w:color w:val="000000"/>
                <w:kern w:val="0"/>
                <w:sz w:val="15"/>
                <w:szCs w:val="15"/>
                <w:highlight w:val="none"/>
                <w:u w:val="none"/>
                <w:lang w:val="en-US" w:eastAsia="zh-CN" w:bidi="ar"/>
              </w:rPr>
              <w:t>人次</w:t>
            </w:r>
          </w:p>
        </w:tc>
        <w:tc>
          <w:tcPr>
            <w:tcW w:w="1897" w:type="dxa"/>
            <w:noWrap w:val="0"/>
            <w:vAlign w:val="center"/>
          </w:tcPr>
          <w:p>
            <w:pPr>
              <w:keepNext w:val="0"/>
              <w:keepLines w:val="0"/>
              <w:widowControl/>
              <w:suppressLineNumbers w:val="0"/>
              <w:jc w:val="both"/>
              <w:textAlignment w:val="center"/>
              <w:rPr>
                <w:rFonts w:hint="default" w:ascii="Times New Roman" w:hAnsi="Times New Roman" w:cs="Times New Roman"/>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3044" w:type="dxa"/>
            <w:gridSpan w:val="2"/>
            <w:noWrap w:val="0"/>
            <w:vAlign w:val="center"/>
          </w:tcPr>
          <w:p>
            <w:pPr>
              <w:keepNext w:val="0"/>
              <w:keepLines w:val="0"/>
              <w:widowControl/>
              <w:suppressLineNumbers w:val="0"/>
              <w:jc w:val="left"/>
              <w:textAlignment w:val="center"/>
              <w:rPr>
                <w:rFonts w:hint="default" w:ascii="宋体" w:hAnsi="宋体" w:eastAsia="宋体" w:cs="宋体"/>
                <w:i w:val="0"/>
                <w:color w:val="000000"/>
                <w:sz w:val="15"/>
                <w:szCs w:val="15"/>
                <w:highlight w:val="none"/>
                <w:u w:val="none"/>
                <w:lang w:val="en-US" w:eastAsia="zh-CN"/>
              </w:rPr>
            </w:pPr>
            <w:r>
              <w:rPr>
                <w:rFonts w:hint="eastAsia" w:ascii="宋体" w:hAnsi="宋体" w:eastAsia="宋体" w:cs="宋体"/>
                <w:i w:val="0"/>
                <w:color w:val="000000"/>
                <w:sz w:val="15"/>
                <w:szCs w:val="15"/>
                <w:highlight w:val="none"/>
                <w:u w:val="none"/>
                <w:lang w:val="en-US" w:eastAsia="zh-CN"/>
              </w:rPr>
              <w:t>提供技术咨询/技术服务数量</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≥6760人次</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74</w:t>
            </w:r>
            <w:r>
              <w:rPr>
                <w:rFonts w:hint="eastAsia" w:ascii="宋体" w:hAnsi="宋体" w:cs="宋体"/>
                <w:i w:val="0"/>
                <w:iCs w:val="0"/>
                <w:color w:val="000000"/>
                <w:kern w:val="0"/>
                <w:sz w:val="15"/>
                <w:szCs w:val="15"/>
                <w:highlight w:val="none"/>
                <w:u w:val="none"/>
                <w:lang w:val="en-US" w:eastAsia="zh-CN" w:bidi="ar"/>
              </w:rPr>
              <w:t>93</w:t>
            </w:r>
            <w:r>
              <w:rPr>
                <w:rFonts w:hint="eastAsia" w:ascii="宋体" w:hAnsi="宋体" w:eastAsia="宋体" w:cs="宋体"/>
                <w:i w:val="0"/>
                <w:iCs w:val="0"/>
                <w:color w:val="000000"/>
                <w:kern w:val="0"/>
                <w:sz w:val="15"/>
                <w:szCs w:val="15"/>
                <w:highlight w:val="none"/>
                <w:u w:val="none"/>
                <w:lang w:val="en-US" w:eastAsia="zh-CN" w:bidi="ar"/>
              </w:rPr>
              <w:t>人次</w:t>
            </w:r>
          </w:p>
        </w:tc>
        <w:tc>
          <w:tcPr>
            <w:tcW w:w="1897" w:type="dxa"/>
            <w:noWrap w:val="0"/>
            <w:vAlign w:val="center"/>
          </w:tcPr>
          <w:p>
            <w:pPr>
              <w:keepNext w:val="0"/>
              <w:keepLines w:val="0"/>
              <w:widowControl/>
              <w:suppressLineNumbers w:val="0"/>
              <w:jc w:val="both"/>
              <w:textAlignment w:val="center"/>
              <w:rPr>
                <w:rFonts w:hint="default" w:ascii="Times New Roman" w:hAnsi="Times New Roman" w:cs="Times New Roman"/>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3044" w:type="dxa"/>
            <w:gridSpan w:val="2"/>
            <w:noWrap w:val="0"/>
            <w:vAlign w:val="center"/>
          </w:tcPr>
          <w:p>
            <w:pPr>
              <w:keepNext w:val="0"/>
              <w:keepLines w:val="0"/>
              <w:widowControl/>
              <w:suppressLineNumbers w:val="0"/>
              <w:jc w:val="left"/>
              <w:textAlignment w:val="center"/>
              <w:rPr>
                <w:rFonts w:hint="default" w:ascii="宋体" w:hAnsi="宋体" w:eastAsia="宋体" w:cs="宋体"/>
                <w:i w:val="0"/>
                <w:color w:val="000000"/>
                <w:sz w:val="15"/>
                <w:szCs w:val="15"/>
                <w:highlight w:val="none"/>
                <w:u w:val="none"/>
                <w:lang w:val="en-US" w:eastAsia="zh-CN"/>
              </w:rPr>
            </w:pPr>
            <w:r>
              <w:rPr>
                <w:rFonts w:hint="eastAsia" w:ascii="宋体" w:hAnsi="宋体" w:eastAsia="宋体" w:cs="宋体"/>
                <w:i w:val="0"/>
                <w:iCs w:val="0"/>
                <w:color w:val="000000"/>
                <w:kern w:val="0"/>
                <w:sz w:val="15"/>
                <w:szCs w:val="15"/>
                <w:highlight w:val="none"/>
                <w:u w:val="none"/>
                <w:lang w:val="en-US" w:eastAsia="zh-CN" w:bidi="ar"/>
              </w:rPr>
              <w:t>科技帮扶支撑乡村振兴项目数量</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≥11个</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11个</w:t>
            </w:r>
          </w:p>
        </w:tc>
        <w:tc>
          <w:tcPr>
            <w:tcW w:w="1897" w:type="dxa"/>
            <w:noWrap w:val="0"/>
            <w:vAlign w:val="center"/>
          </w:tcPr>
          <w:p>
            <w:pPr>
              <w:keepNext w:val="0"/>
              <w:keepLines w:val="0"/>
              <w:widowControl/>
              <w:suppressLineNumbers w:val="0"/>
              <w:jc w:val="both"/>
              <w:textAlignment w:val="center"/>
              <w:rPr>
                <w:rFonts w:hint="default" w:ascii="Times New Roman" w:hAnsi="Times New Roman" w:cs="Times New Roman"/>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76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p>
        </w:tc>
        <w:tc>
          <w:tcPr>
            <w:tcW w:w="3044" w:type="dxa"/>
            <w:gridSpan w:val="2"/>
            <w:tcBorders>
              <w:bottom w:val="nil"/>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15"/>
                <w:szCs w:val="15"/>
                <w:highlight w:val="none"/>
                <w:u w:val="none"/>
                <w:lang w:val="en-US" w:eastAsia="zh-CN"/>
              </w:rPr>
            </w:pPr>
            <w:r>
              <w:rPr>
                <w:rFonts w:hint="eastAsia" w:ascii="宋体" w:hAnsi="宋体" w:eastAsia="宋体" w:cs="宋体"/>
                <w:i w:val="0"/>
                <w:color w:val="000000"/>
                <w:sz w:val="15"/>
                <w:szCs w:val="15"/>
                <w:highlight w:val="none"/>
                <w:u w:val="none"/>
                <w:lang w:val="en-US" w:eastAsia="zh-CN"/>
              </w:rPr>
              <w:t>培训技术经纪人数量</w:t>
            </w:r>
          </w:p>
        </w:tc>
        <w:tc>
          <w:tcPr>
            <w:tcW w:w="1081" w:type="dxa"/>
            <w:tcBorders>
              <w:bottom w:val="nil"/>
            </w:tcBorders>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≥155人次</w:t>
            </w:r>
          </w:p>
        </w:tc>
        <w:tc>
          <w:tcPr>
            <w:tcW w:w="800" w:type="dxa"/>
            <w:tcBorders>
              <w:bottom w:val="nil"/>
            </w:tcBorders>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192人次</w:t>
            </w:r>
          </w:p>
        </w:tc>
        <w:tc>
          <w:tcPr>
            <w:tcW w:w="1897" w:type="dxa"/>
            <w:tcBorders>
              <w:bottom w:val="nil"/>
            </w:tcBorders>
            <w:noWrap w:val="0"/>
            <w:vAlign w:val="center"/>
          </w:tcPr>
          <w:p>
            <w:pPr>
              <w:keepNext w:val="0"/>
              <w:keepLines w:val="0"/>
              <w:widowControl/>
              <w:suppressLineNumbers w:val="0"/>
              <w:jc w:val="both"/>
              <w:textAlignment w:val="center"/>
              <w:rPr>
                <w:rFonts w:hint="default" w:ascii="Times New Roman" w:hAnsi="Times New Roman" w:cs="Times New Roman"/>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6" w:hRule="exact"/>
          <w:jc w:val="center"/>
        </w:trPr>
        <w:tc>
          <w:tcPr>
            <w:tcW w:w="747" w:type="dxa"/>
            <w:vMerge w:val="continue"/>
            <w:noWrap w:val="0"/>
            <w:vAlign w:val="center"/>
          </w:tcPr>
          <w:p>
            <w:pPr>
              <w:keepNext w:val="0"/>
              <w:keepLines w:val="0"/>
              <w:pageBreakBefore w:val="0"/>
              <w:kinsoku/>
              <w:wordWrap/>
              <w:overflowPunct/>
              <w:topLinePunct w:val="0"/>
              <w:autoSpaceDE/>
              <w:autoSpaceDN/>
              <w:bidi w:val="0"/>
              <w:adjustRightInd/>
              <w:snapToGrid/>
              <w:spacing w:line="180" w:lineRule="exact"/>
              <w:ind w:left="0"/>
              <w:jc w:val="center"/>
              <w:rPr>
                <w:rFonts w:hint="default" w:ascii="Times New Roman" w:hAnsi="Times New Roman" w:cs="Times New Roman"/>
                <w:color w:val="000000"/>
                <w:sz w:val="15"/>
                <w:szCs w:val="15"/>
                <w:highlight w:val="none"/>
              </w:rPr>
            </w:pPr>
          </w:p>
        </w:tc>
        <w:tc>
          <w:tcPr>
            <w:tcW w:w="535" w:type="dxa"/>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满意</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度指</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标</w:t>
            </w:r>
          </w:p>
        </w:tc>
        <w:tc>
          <w:tcPr>
            <w:tcW w:w="765" w:type="dxa"/>
            <w:noWrap w:val="0"/>
            <w:vAlign w:val="center"/>
          </w:tcPr>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服务对象</w:t>
            </w:r>
          </w:p>
          <w:p>
            <w:pPr>
              <w:keepNext w:val="0"/>
              <w:keepLines w:val="0"/>
              <w:pageBreakBefore w:val="0"/>
              <w:widowControl w:val="0"/>
              <w:kinsoku/>
              <w:wordWrap/>
              <w:overflowPunct/>
              <w:topLinePunct w:val="0"/>
              <w:autoSpaceDE/>
              <w:autoSpaceDN/>
              <w:bidi w:val="0"/>
              <w:adjustRightInd/>
              <w:snapToGrid/>
              <w:spacing w:line="180" w:lineRule="exact"/>
              <w:ind w:left="0"/>
              <w:jc w:val="center"/>
              <w:textAlignment w:val="auto"/>
              <w:outlineLvl w:val="9"/>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满意度指标</w:t>
            </w:r>
          </w:p>
        </w:tc>
        <w:tc>
          <w:tcPr>
            <w:tcW w:w="3044"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ind w:left="0"/>
              <w:jc w:val="left"/>
              <w:textAlignment w:val="center"/>
              <w:outlineLvl w:val="9"/>
              <w:rPr>
                <w:rFonts w:hint="default" w:ascii="Times New Roman" w:hAnsi="Times New Roman" w:cs="Times New Roman"/>
                <w:color w:val="000000"/>
                <w:sz w:val="15"/>
                <w:szCs w:val="15"/>
                <w:highlight w:val="none"/>
              </w:rPr>
            </w:pPr>
            <w:r>
              <w:rPr>
                <w:rStyle w:val="12"/>
                <w:rFonts w:hint="default" w:ascii="Times New Roman" w:hAnsi="Times New Roman" w:eastAsia="宋体" w:cs="Times New Roman"/>
                <w:color w:val="000000"/>
                <w:sz w:val="15"/>
                <w:szCs w:val="15"/>
                <w:highlight w:val="none"/>
                <w:lang w:val="en-US" w:eastAsia="zh-CN" w:bidi="ar"/>
              </w:rPr>
              <w:t>被服务对象满意度</w:t>
            </w:r>
          </w:p>
        </w:tc>
        <w:tc>
          <w:tcPr>
            <w:tcW w:w="1081"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≥90%</w:t>
            </w:r>
          </w:p>
        </w:tc>
        <w:tc>
          <w:tcPr>
            <w:tcW w:w="800" w:type="dxa"/>
            <w:noWrap w:val="0"/>
            <w:vAlign w:val="center"/>
          </w:tcPr>
          <w:p>
            <w:pPr>
              <w:keepNext w:val="0"/>
              <w:keepLines w:val="0"/>
              <w:widowControl/>
              <w:suppressLineNumbers w:val="0"/>
              <w:spacing w:line="180" w:lineRule="exact"/>
              <w:jc w:val="both"/>
              <w:textAlignment w:val="auto"/>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9</w:t>
            </w:r>
            <w:r>
              <w:rPr>
                <w:rFonts w:hint="eastAsia" w:ascii="宋体" w:hAnsi="宋体" w:cs="宋体"/>
                <w:i w:val="0"/>
                <w:iCs w:val="0"/>
                <w:color w:val="000000"/>
                <w:kern w:val="0"/>
                <w:sz w:val="15"/>
                <w:szCs w:val="15"/>
                <w:highlight w:val="none"/>
                <w:u w:val="none"/>
                <w:lang w:val="en-US" w:eastAsia="zh-CN" w:bidi="ar"/>
              </w:rPr>
              <w:t>8</w:t>
            </w:r>
            <w:r>
              <w:rPr>
                <w:rFonts w:hint="eastAsia" w:ascii="宋体" w:hAnsi="宋体" w:eastAsia="宋体" w:cs="宋体"/>
                <w:i w:val="0"/>
                <w:iCs w:val="0"/>
                <w:color w:val="000000"/>
                <w:kern w:val="0"/>
                <w:sz w:val="15"/>
                <w:szCs w:val="15"/>
                <w:highlight w:val="none"/>
                <w:u w:val="none"/>
                <w:lang w:val="en-US" w:eastAsia="zh-CN" w:bidi="ar"/>
              </w:rPr>
              <w:t>%</w:t>
            </w:r>
          </w:p>
        </w:tc>
        <w:tc>
          <w:tcPr>
            <w:tcW w:w="189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jc w:val="both"/>
              <w:rPr>
                <w:rFonts w:hint="default" w:ascii="Times New Roman" w:hAnsi="Times New Roman" w:cs="Times New Roman"/>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center"/>
        </w:trPr>
        <w:tc>
          <w:tcPr>
            <w:tcW w:w="747" w:type="dxa"/>
            <w:noWrap w:val="0"/>
            <w:vAlign w:val="center"/>
          </w:tcPr>
          <w:p>
            <w:pPr>
              <w:keepNext w:val="0"/>
              <w:keepLines w:val="0"/>
              <w:pageBreakBefore w:val="0"/>
              <w:kinsoku/>
              <w:wordWrap/>
              <w:overflowPunct/>
              <w:topLinePunct w:val="0"/>
              <w:autoSpaceDE/>
              <w:autoSpaceDN/>
              <w:bidi w:val="0"/>
              <w:adjustRightInd/>
              <w:snapToGrid/>
              <w:spacing w:line="180" w:lineRule="exact"/>
              <w:ind w:left="0" w:firstLine="0"/>
              <w:jc w:val="both"/>
              <w:rPr>
                <w:rFonts w:hint="default" w:ascii="Times New Roman" w:hAnsi="Times New Roman" w:cs="Times New Roman"/>
                <w:color w:val="000000"/>
                <w:sz w:val="15"/>
                <w:szCs w:val="15"/>
                <w:highlight w:val="none"/>
              </w:rPr>
            </w:pPr>
            <w:r>
              <w:rPr>
                <w:rFonts w:hint="default" w:ascii="Times New Roman" w:hAnsi="Times New Roman" w:eastAsia="宋体" w:cs="Times New Roman"/>
                <w:color w:val="000000"/>
                <w:sz w:val="15"/>
                <w:szCs w:val="15"/>
                <w:highlight w:val="none"/>
              </w:rPr>
              <w:t>说明</w:t>
            </w:r>
          </w:p>
        </w:tc>
        <w:tc>
          <w:tcPr>
            <w:tcW w:w="8122" w:type="dxa"/>
            <w:gridSpan w:val="7"/>
            <w:noWrap w:val="0"/>
            <w:vAlign w:val="center"/>
          </w:tcPr>
          <w:p>
            <w:pPr>
              <w:keepNext w:val="0"/>
              <w:keepLines w:val="0"/>
              <w:pageBreakBefore w:val="0"/>
              <w:kinsoku/>
              <w:wordWrap/>
              <w:overflowPunct/>
              <w:topLinePunct w:val="0"/>
              <w:autoSpaceDE/>
              <w:autoSpaceDN/>
              <w:bidi w:val="0"/>
              <w:adjustRightInd/>
              <w:snapToGrid/>
              <w:spacing w:line="180" w:lineRule="exact"/>
              <w:ind w:left="0" w:firstLine="0"/>
              <w:jc w:val="both"/>
              <w:rPr>
                <w:rFonts w:hint="default" w:ascii="Times New Roman" w:hAnsi="Times New Roman" w:cs="Times New Roman"/>
                <w:color w:val="000000"/>
                <w:sz w:val="15"/>
                <w:szCs w:val="15"/>
                <w:highlight w:val="none"/>
              </w:rPr>
            </w:pPr>
            <w:r>
              <w:rPr>
                <w:rFonts w:hint="default" w:ascii="Times New Roman" w:hAnsi="Times New Roman" w:cs="Times New Roman"/>
                <w:color w:val="000000"/>
                <w:sz w:val="15"/>
                <w:szCs w:val="15"/>
                <w:highlight w:val="none"/>
              </w:rPr>
              <w:t>无</w:t>
            </w:r>
            <w:r>
              <w:rPr>
                <w:rFonts w:hint="default" w:ascii="Times New Roman" w:hAnsi="Times New Roman" w:eastAsia="宋体" w:cs="Times New Roman"/>
                <w:color w:val="000000"/>
                <w:sz w:val="15"/>
                <w:szCs w:val="15"/>
                <w:highlight w:val="none"/>
              </w:rPr>
              <w:t>。</w:t>
            </w:r>
          </w:p>
        </w:tc>
      </w:tr>
    </w:tbl>
    <w:p>
      <w:pPr>
        <w:keepNext w:val="0"/>
        <w:keepLines w:val="0"/>
        <w:pageBreakBefore w:val="0"/>
        <w:widowControl w:val="0"/>
        <w:kinsoku/>
        <w:wordWrap/>
        <w:overflowPunct/>
        <w:topLinePunct w:val="0"/>
        <w:autoSpaceDE/>
        <w:autoSpaceDN/>
        <w:bidi w:val="0"/>
        <w:adjustRightInd/>
        <w:snapToGrid/>
        <w:spacing w:line="240" w:lineRule="exact"/>
        <w:ind w:left="0" w:hanging="301" w:hangingChars="200"/>
        <w:jc w:val="both"/>
        <w:textAlignment w:val="auto"/>
        <w:outlineLvl w:val="9"/>
        <w:rPr>
          <w:rFonts w:hint="eastAsia" w:ascii="黑体" w:hAnsi="黑体" w:eastAsia="黑体" w:cs="黑体"/>
          <w:b/>
          <w:bCs/>
          <w:color w:val="000000" w:themeColor="text1"/>
          <w:sz w:val="15"/>
          <w:szCs w:val="15"/>
          <w:highlight w:val="none"/>
          <w14:textFill>
            <w14:solidFill>
              <w14:schemeClr w14:val="tx1"/>
            </w14:solidFill>
          </w14:textFill>
        </w:rPr>
      </w:pPr>
      <w:r>
        <w:rPr>
          <w:rFonts w:hint="eastAsia" w:ascii="黑体" w:hAnsi="黑体" w:eastAsia="黑体" w:cs="黑体"/>
          <w:b/>
          <w:bCs/>
          <w:color w:val="000000" w:themeColor="text1"/>
          <w:sz w:val="15"/>
          <w:szCs w:val="15"/>
          <w:highlight w:val="none"/>
          <w14:textFill>
            <w14:solidFill>
              <w14:schemeClr w14:val="tx1"/>
            </w14:solidFill>
          </w14:textFill>
        </w:rPr>
        <w:t>注：</w:t>
      </w:r>
    </w:p>
    <w:p>
      <w:pPr>
        <w:keepNext w:val="0"/>
        <w:keepLines w:val="0"/>
        <w:pageBreakBefore w:val="0"/>
        <w:widowControl w:val="0"/>
        <w:kinsoku/>
        <w:wordWrap/>
        <w:overflowPunct/>
        <w:topLinePunct w:val="0"/>
        <w:autoSpaceDE/>
        <w:autoSpaceDN/>
        <w:bidi w:val="0"/>
        <w:adjustRightInd/>
        <w:snapToGrid/>
        <w:spacing w:line="240" w:lineRule="exact"/>
        <w:ind w:left="0" w:firstLine="301" w:firstLineChars="200"/>
        <w:jc w:val="both"/>
        <w:textAlignment w:val="auto"/>
        <w:outlineLvl w:val="9"/>
        <w:rPr>
          <w:rFonts w:hint="default" w:ascii="Times New Roman" w:hAnsi="Times New Roman" w:cs="Times New Roman"/>
          <w:b/>
          <w:bCs/>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5"/>
          <w:szCs w:val="15"/>
          <w:highlight w:val="none"/>
          <w14:textFill>
            <w14:solidFill>
              <w14:schemeClr w14:val="tx1"/>
            </w14:solidFill>
          </w14:textFill>
        </w:rPr>
        <w:t>1．</w:t>
      </w:r>
      <w:r>
        <w:rPr>
          <w:rFonts w:hint="eastAsia" w:ascii="Times New Roman" w:hAnsi="Times New Roman" w:cs="Times New Roman"/>
          <w:b/>
          <w:bCs/>
          <w:color w:val="000000" w:themeColor="text1"/>
          <w:sz w:val="15"/>
          <w:szCs w:val="15"/>
          <w:highlight w:val="none"/>
          <w:lang w:eastAsia="zh-CN"/>
          <w14:textFill>
            <w14:solidFill>
              <w14:schemeClr w14:val="tx1"/>
            </w14:solidFill>
          </w14:textFill>
        </w:rPr>
        <w:t>该表由省级</w:t>
      </w:r>
      <w:r>
        <w:rPr>
          <w:rFonts w:hint="default" w:ascii="Times New Roman" w:hAnsi="Times New Roman" w:cs="Times New Roman"/>
          <w:b/>
          <w:bCs/>
          <w:color w:val="000000" w:themeColor="text1"/>
          <w:sz w:val="15"/>
          <w:szCs w:val="15"/>
          <w:highlight w:val="none"/>
          <w14:textFill>
            <w14:solidFill>
              <w14:schemeClr w14:val="tx1"/>
            </w14:solidFill>
          </w14:textFill>
        </w:rPr>
        <w:t>主管部门填报。</w:t>
      </w:r>
    </w:p>
    <w:p>
      <w:pPr>
        <w:keepNext w:val="0"/>
        <w:keepLines w:val="0"/>
        <w:pageBreakBefore w:val="0"/>
        <w:widowControl w:val="0"/>
        <w:kinsoku/>
        <w:wordWrap/>
        <w:overflowPunct/>
        <w:topLinePunct w:val="0"/>
        <w:autoSpaceDE/>
        <w:autoSpaceDN/>
        <w:bidi w:val="0"/>
        <w:adjustRightInd/>
        <w:snapToGrid/>
        <w:spacing w:line="240" w:lineRule="exact"/>
        <w:ind w:left="0" w:firstLine="301" w:firstLineChars="200"/>
        <w:jc w:val="both"/>
        <w:textAlignment w:val="auto"/>
        <w:outlineLvl w:val="9"/>
        <w:rPr>
          <w:rFonts w:hint="default" w:ascii="Times New Roman" w:hAnsi="Times New Roman" w:cs="Times New Roman"/>
          <w:b/>
          <w:bCs/>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5"/>
          <w:szCs w:val="15"/>
          <w:highlight w:val="none"/>
          <w14:textFill>
            <w14:solidFill>
              <w14:schemeClr w14:val="tx1"/>
            </w14:solidFill>
          </w14:textFill>
        </w:rPr>
        <w:t>2．</w:t>
      </w:r>
      <w:r>
        <w:rPr>
          <w:rFonts w:hint="default" w:ascii="Times New Roman" w:hAnsi="Times New Roman" w:cs="Times New Roman"/>
          <w:b/>
          <w:bCs/>
          <w:color w:val="000000" w:themeColor="text1"/>
          <w:spacing w:val="-6"/>
          <w:sz w:val="15"/>
          <w:szCs w:val="15"/>
          <w:highlight w:val="none"/>
          <w14:textFill>
            <w14:solidFill>
              <w14:schemeClr w14:val="tx1"/>
            </w14:solidFill>
          </w14:textFill>
        </w:rPr>
        <w:t>其他资金包括与中央财政资金、地方财政资金共同投入</w:t>
      </w:r>
      <w:r>
        <w:rPr>
          <w:rFonts w:hint="eastAsia" w:ascii="Times New Roman" w:hAnsi="Times New Roman" w:cs="Times New Roman"/>
          <w:b/>
          <w:bCs/>
          <w:color w:val="000000" w:themeColor="text1"/>
          <w:spacing w:val="-6"/>
          <w:sz w:val="15"/>
          <w:szCs w:val="15"/>
          <w:highlight w:val="none"/>
          <w:lang w:eastAsia="zh-CN"/>
          <w14:textFill>
            <w14:solidFill>
              <w14:schemeClr w14:val="tx1"/>
            </w14:solidFill>
          </w14:textFill>
        </w:rPr>
        <w:t>到项目的</w:t>
      </w:r>
      <w:r>
        <w:rPr>
          <w:rFonts w:hint="default" w:ascii="Times New Roman" w:hAnsi="Times New Roman" w:cs="Times New Roman"/>
          <w:b/>
          <w:bCs/>
          <w:color w:val="000000" w:themeColor="text1"/>
          <w:spacing w:val="-6"/>
          <w:sz w:val="15"/>
          <w:szCs w:val="15"/>
          <w:highlight w:val="none"/>
          <w14:textFill>
            <w14:solidFill>
              <w14:schemeClr w14:val="tx1"/>
            </w14:solidFill>
          </w14:textFill>
        </w:rPr>
        <w:t>自有资金、社会资金。</w:t>
      </w:r>
    </w:p>
    <w:p>
      <w:pPr>
        <w:keepNext w:val="0"/>
        <w:keepLines w:val="0"/>
        <w:pageBreakBefore w:val="0"/>
        <w:widowControl w:val="0"/>
        <w:kinsoku/>
        <w:wordWrap/>
        <w:overflowPunct/>
        <w:topLinePunct w:val="0"/>
        <w:autoSpaceDE/>
        <w:autoSpaceDN/>
        <w:bidi w:val="0"/>
        <w:adjustRightInd/>
        <w:snapToGrid/>
        <w:spacing w:line="240" w:lineRule="exact"/>
        <w:ind w:left="0" w:firstLine="301" w:firstLineChars="200"/>
        <w:jc w:val="both"/>
        <w:textAlignment w:val="auto"/>
        <w:outlineLvl w:val="9"/>
        <w:rPr>
          <w:rFonts w:hint="default" w:ascii="Times New Roman" w:hAnsi="Times New Roman" w:cs="Times New Roman"/>
          <w:b/>
          <w:bCs/>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5"/>
          <w:szCs w:val="15"/>
          <w:highlight w:val="none"/>
          <w14:textFill>
            <w14:solidFill>
              <w14:schemeClr w14:val="tx1"/>
            </w14:solidFill>
          </w14:textFill>
        </w:rPr>
        <w:t>3．全年执行数是指按照国库集中支付制度要求，支付到商品和劳务供应者或用款单位形成的实际支出。</w:t>
      </w:r>
    </w:p>
    <w:p>
      <w:pPr>
        <w:keepNext w:val="0"/>
        <w:keepLines w:val="0"/>
        <w:pageBreakBefore w:val="0"/>
        <w:widowControl w:val="0"/>
        <w:kinsoku/>
        <w:wordWrap/>
        <w:overflowPunct/>
        <w:topLinePunct w:val="0"/>
        <w:autoSpaceDE/>
        <w:autoSpaceDN/>
        <w:bidi w:val="0"/>
        <w:adjustRightInd/>
        <w:snapToGrid/>
        <w:spacing w:line="240" w:lineRule="exact"/>
        <w:ind w:left="0" w:firstLine="301" w:firstLineChars="200"/>
        <w:jc w:val="both"/>
        <w:textAlignment w:val="auto"/>
        <w:outlineLvl w:val="9"/>
        <w:rPr>
          <w:rFonts w:hint="default" w:ascii="Times New Roman" w:hAnsi="Times New Roman" w:cs="Times New Roman"/>
          <w:b/>
          <w:bCs/>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5"/>
          <w:szCs w:val="15"/>
          <w:highlight w:val="none"/>
          <w14:textFill>
            <w14:solidFill>
              <w14:schemeClr w14:val="tx1"/>
            </w14:solidFill>
          </w14:textFill>
        </w:rPr>
        <w:t>4．定量指标实际完成值汇总时，绝对值直接累加计算，相对值按照资金额度加权平均计算。</w:t>
      </w:r>
    </w:p>
    <w:p>
      <w:pPr>
        <w:keepNext w:val="0"/>
        <w:keepLines w:val="0"/>
        <w:pageBreakBefore w:val="0"/>
        <w:widowControl w:val="0"/>
        <w:kinsoku/>
        <w:wordWrap/>
        <w:overflowPunct/>
        <w:topLinePunct w:val="0"/>
        <w:autoSpaceDE/>
        <w:autoSpaceDN/>
        <w:bidi w:val="0"/>
        <w:adjustRightInd/>
        <w:snapToGrid/>
        <w:spacing w:line="240" w:lineRule="exact"/>
        <w:ind w:left="0" w:firstLine="301" w:firstLineChars="200"/>
        <w:jc w:val="both"/>
        <w:textAlignment w:val="auto"/>
        <w:outlineLvl w:val="9"/>
        <w:rPr>
          <w:rFonts w:hint="default" w:ascii="Times New Roman" w:hAnsi="Times New Roman" w:cs="Times New Roman"/>
          <w:b/>
          <w:bCs/>
          <w:color w:val="000000" w:themeColor="text1"/>
          <w:sz w:val="15"/>
          <w:szCs w:val="15"/>
          <w:highlight w:val="none"/>
          <w14:textFill>
            <w14:solidFill>
              <w14:schemeClr w14:val="tx1"/>
            </w14:solidFill>
          </w14:textFill>
        </w:rPr>
      </w:pPr>
      <w:r>
        <w:rPr>
          <w:rFonts w:hint="default" w:ascii="Times New Roman" w:hAnsi="Times New Roman" w:cs="Times New Roman"/>
          <w:b/>
          <w:bCs/>
          <w:color w:val="000000" w:themeColor="text1"/>
          <w:sz w:val="15"/>
          <w:szCs w:val="15"/>
          <w:highlight w:val="none"/>
          <w14:textFill>
            <w14:solidFill>
              <w14:schemeClr w14:val="tx1"/>
            </w14:solidFill>
          </w14:textFill>
        </w:rPr>
        <w:t>5．定性指标</w:t>
      </w:r>
      <w:r>
        <w:rPr>
          <w:rFonts w:hint="eastAsia" w:ascii="Times New Roman" w:hAnsi="Times New Roman" w:cs="Times New Roman"/>
          <w:b/>
          <w:bCs/>
          <w:color w:val="000000" w:themeColor="text1"/>
          <w:sz w:val="15"/>
          <w:szCs w:val="15"/>
          <w:highlight w:val="none"/>
          <w:lang w:eastAsia="zh-CN"/>
          <w14:textFill>
            <w14:solidFill>
              <w14:schemeClr w14:val="tx1"/>
            </w14:solidFill>
          </w14:textFill>
        </w:rPr>
        <w:t>根据指标完成情况分为：全部或基本达成预期指标、部分达成预期指标并具有一定效果、未达成预期指标且效果较差三档，</w:t>
      </w:r>
      <w:r>
        <w:rPr>
          <w:rFonts w:hint="default" w:ascii="Times New Roman" w:hAnsi="Times New Roman" w:cs="Times New Roman"/>
          <w:b/>
          <w:bCs/>
          <w:color w:val="000000" w:themeColor="text1"/>
          <w:sz w:val="15"/>
          <w:szCs w:val="15"/>
          <w:highlight w:val="none"/>
          <w14:textFill>
            <w14:solidFill>
              <w14:schemeClr w14:val="tx1"/>
            </w14:solidFill>
          </w14:textFill>
        </w:rPr>
        <w:t>资金使用单位分别按照100％-80％（含）、80％-60％（含）、60％-0％合理填写实际完成</w:t>
      </w:r>
      <w:r>
        <w:rPr>
          <w:rFonts w:hint="eastAsia" w:ascii="Times New Roman" w:hAnsi="Times New Roman" w:cs="Times New Roman"/>
          <w:b/>
          <w:bCs/>
          <w:color w:val="000000" w:themeColor="text1"/>
          <w:sz w:val="15"/>
          <w:szCs w:val="15"/>
          <w:highlight w:val="none"/>
          <w:lang w:eastAsia="zh-CN"/>
          <w14:textFill>
            <w14:solidFill>
              <w14:schemeClr w14:val="tx1"/>
            </w14:solidFill>
          </w14:textFill>
        </w:rPr>
        <w:t>比例，省</w:t>
      </w:r>
      <w:r>
        <w:rPr>
          <w:rFonts w:hint="default" w:ascii="Times New Roman" w:hAnsi="Times New Roman" w:cs="Times New Roman"/>
          <w:b/>
          <w:bCs/>
          <w:color w:val="000000" w:themeColor="text1"/>
          <w:sz w:val="15"/>
          <w:szCs w:val="15"/>
          <w:highlight w:val="none"/>
          <w14:textFill>
            <w14:solidFill>
              <w14:schemeClr w14:val="tx1"/>
            </w14:solidFill>
          </w14:textFill>
        </w:rPr>
        <w:t>级主管部门汇总</w:t>
      </w:r>
      <w:r>
        <w:rPr>
          <w:rFonts w:hint="eastAsia" w:ascii="Times New Roman" w:hAnsi="Times New Roman" w:cs="Times New Roman"/>
          <w:b/>
          <w:bCs/>
          <w:color w:val="000000" w:themeColor="text1"/>
          <w:sz w:val="15"/>
          <w:szCs w:val="15"/>
          <w:highlight w:val="none"/>
          <w:lang w:eastAsia="zh-CN"/>
          <w14:textFill>
            <w14:solidFill>
              <w14:schemeClr w14:val="tx1"/>
            </w14:solidFill>
          </w14:textFill>
        </w:rPr>
        <w:t>时</w:t>
      </w:r>
      <w:r>
        <w:rPr>
          <w:rFonts w:hint="default" w:ascii="Times New Roman" w:hAnsi="Times New Roman" w:cs="Times New Roman"/>
          <w:b/>
          <w:bCs/>
          <w:color w:val="000000" w:themeColor="text1"/>
          <w:sz w:val="15"/>
          <w:szCs w:val="15"/>
          <w:highlight w:val="none"/>
          <w14:textFill>
            <w14:solidFill>
              <w14:schemeClr w14:val="tx1"/>
            </w14:solidFill>
          </w14:textFill>
        </w:rPr>
        <w:t>按照资金额度加权平均计算。</w:t>
      </w:r>
    </w:p>
    <w:p>
      <w:pPr>
        <w:keepNext w:val="0"/>
        <w:keepLines w:val="0"/>
        <w:pageBreakBefore w:val="0"/>
        <w:widowControl w:val="0"/>
        <w:kinsoku/>
        <w:wordWrap/>
        <w:overflowPunct/>
        <w:topLinePunct w:val="0"/>
        <w:autoSpaceDE/>
        <w:autoSpaceDN/>
        <w:bidi w:val="0"/>
        <w:adjustRightInd/>
        <w:snapToGrid/>
        <w:spacing w:line="240" w:lineRule="exact"/>
        <w:ind w:left="0" w:firstLine="301" w:firstLineChars="200"/>
        <w:jc w:val="both"/>
        <w:textAlignment w:val="auto"/>
        <w:outlineLvl w:val="9"/>
        <w:rPr>
          <w:rFonts w:hint="default" w:ascii="Times New Roman" w:hAnsi="Times New Roman" w:eastAsia="仿宋_GB2312" w:cs="Times New Roman"/>
          <w:spacing w:val="0"/>
          <w:sz w:val="32"/>
          <w:szCs w:val="32"/>
          <w:highlight w:val="none"/>
          <w:lang w:val="en-US" w:eastAsia="zh-CN"/>
        </w:rPr>
      </w:pPr>
      <w:r>
        <w:rPr>
          <w:rFonts w:hint="eastAsia" w:ascii="Times New Roman" w:hAnsi="Times New Roman" w:cs="Times New Roman"/>
          <w:b/>
          <w:bCs/>
          <w:color w:val="000000" w:themeColor="text1"/>
          <w:sz w:val="15"/>
          <w:szCs w:val="15"/>
          <w:highlight w:val="none"/>
          <w:lang w:val="en-US" w:eastAsia="zh-CN"/>
          <w14:textFill>
            <w14:solidFill>
              <w14:schemeClr w14:val="tx1"/>
            </w14:solidFill>
          </w14:textFill>
        </w:rPr>
        <w:t>6</w:t>
      </w:r>
      <w:r>
        <w:rPr>
          <w:rFonts w:hint="default" w:ascii="Times New Roman" w:hAnsi="Times New Roman" w:cs="Times New Roman"/>
          <w:b/>
          <w:bCs/>
          <w:color w:val="000000" w:themeColor="text1"/>
          <w:sz w:val="15"/>
          <w:szCs w:val="15"/>
          <w:highlight w:val="none"/>
          <w14:textFill>
            <w14:solidFill>
              <w14:schemeClr w14:val="tx1"/>
            </w14:solidFill>
          </w14:textFill>
        </w:rPr>
        <w:t>．</w:t>
      </w:r>
      <w:r>
        <w:rPr>
          <w:rFonts w:hint="eastAsia" w:ascii="Times New Roman" w:hAnsi="Times New Roman" w:cs="Times New Roman"/>
          <w:b/>
          <w:bCs/>
          <w:color w:val="000000" w:themeColor="text1"/>
          <w:sz w:val="15"/>
          <w:szCs w:val="15"/>
          <w:highlight w:val="none"/>
          <w:lang w:val="en-US" w:eastAsia="zh-CN"/>
          <w14:textFill>
            <w14:solidFill>
              <w14:schemeClr w14:val="tx1"/>
            </w14:solidFill>
          </w14:textFill>
        </w:rPr>
        <w:t>对未完成绩效目标或超过年初设定的绩效指标值30%及以上的，需分析原因并提出改进措施。</w:t>
      </w:r>
    </w:p>
    <w:sectPr>
      <w:footerReference r:id="rId4" w:type="first"/>
      <w:footerReference r:id="rId3" w:type="default"/>
      <w:pgSz w:w="11900" w:h="16840"/>
      <w:pgMar w:top="1417" w:right="1474" w:bottom="1417" w:left="1587" w:header="0" w:footer="1321" w:gutter="0"/>
      <w:pgBorders>
        <w:top w:val="none" w:sz="0" w:space="0"/>
        <w:left w:val="none" w:sz="0" w:space="0"/>
        <w:bottom w:val="none" w:sz="0" w:space="0"/>
        <w:right w:val="none" w:sz="0" w:space="0"/>
      </w:pgBorders>
      <w:pgNumType w:fmt="decimal"/>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56E7BC-BAE4-4800-8383-40C8E8B7EB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743DCFDA-5230-47FE-A8BB-25C27DB5C1EA}"/>
  </w:font>
  <w:font w:name="仿宋">
    <w:panose1 w:val="02010609060101010101"/>
    <w:charset w:val="86"/>
    <w:family w:val="modern"/>
    <w:pitch w:val="default"/>
    <w:sig w:usb0="800002BF" w:usb1="38CF7CFA" w:usb2="00000016" w:usb3="00000000" w:csb0="00040001" w:csb1="00000000"/>
    <w:embedRegular r:id="rId3" w:fontKey="{719B4563-FCA9-4F5A-8B6C-FEE79AF0763F}"/>
  </w:font>
  <w:font w:name="方正黑体_GBK">
    <w:panose1 w:val="03000509000000000000"/>
    <w:charset w:val="86"/>
    <w:family w:val="auto"/>
    <w:pitch w:val="default"/>
    <w:sig w:usb0="00000001" w:usb1="080E0000" w:usb2="00000000" w:usb3="00000000" w:csb0="00040000" w:csb1="00000000"/>
    <w:embedRegular r:id="rId4" w:fontKey="{82AD4610-0B21-4E31-B0F7-3F90684847B6}"/>
  </w:font>
  <w:font w:name="方正楷体_GBK">
    <w:panose1 w:val="03000509000000000000"/>
    <w:charset w:val="86"/>
    <w:family w:val="auto"/>
    <w:pitch w:val="default"/>
    <w:sig w:usb0="00000001" w:usb1="080E0000" w:usb2="00000000" w:usb3="00000000" w:csb0="00040000" w:csb1="00000000"/>
    <w:embedRegular r:id="rId5" w:fontKey="{0011EB23-75D4-4614-BFB4-4FB98F7E34F8}"/>
  </w:font>
  <w:font w:name="方正仿宋_GBK">
    <w:panose1 w:val="03000509000000000000"/>
    <w:charset w:val="86"/>
    <w:family w:val="auto"/>
    <w:pitch w:val="default"/>
    <w:sig w:usb0="00000001" w:usb1="080E0000" w:usb2="00000000" w:usb3="00000000" w:csb0="00040000" w:csb1="00000000"/>
    <w:embedRegular r:id="rId6" w:fontKey="{70ADCCBE-C28B-4046-8084-0B2D5F7EC88A}"/>
  </w:font>
  <w:font w:name="楷体">
    <w:panose1 w:val="02010609060101010101"/>
    <w:charset w:val="86"/>
    <w:family w:val="auto"/>
    <w:pitch w:val="default"/>
    <w:sig w:usb0="800002BF" w:usb1="38CF7CFA" w:usb2="00000016" w:usb3="00000000" w:csb0="00040001" w:csb1="00000000"/>
    <w:embedRegular r:id="rId7" w:fontKey="{0702CA2D-0C43-4BDB-A0AA-83B14E7F6BC8}"/>
  </w:font>
  <w:font w:name="方正小标宋简体">
    <w:panose1 w:val="02010601030101010101"/>
    <w:charset w:val="86"/>
    <w:family w:val="auto"/>
    <w:pitch w:val="default"/>
    <w:sig w:usb0="00000001" w:usb1="080E0000" w:usb2="00000000" w:usb3="00000000" w:csb0="00040000" w:csb1="00000000"/>
    <w:embedRegular r:id="rId8" w:fontKey="{44CA02C3-5865-4484-9E81-A19F1E0FB41A}"/>
  </w:font>
  <w:font w:name="楷体_GB2312">
    <w:panose1 w:val="02010609030101010101"/>
    <w:charset w:val="86"/>
    <w:family w:val="auto"/>
    <w:pitch w:val="default"/>
    <w:sig w:usb0="00000001" w:usb1="080E0000" w:usb2="00000000" w:usb3="00000000" w:csb0="00040000" w:csb1="00000000"/>
    <w:embedRegular r:id="rId9" w:fontKey="{BB6EFE62-B770-4A13-826E-DDA8BEC3B8F9}"/>
  </w:font>
  <w:font w:name="仿宋_GB2312">
    <w:panose1 w:val="02010609030101010101"/>
    <w:charset w:val="86"/>
    <w:family w:val="auto"/>
    <w:pitch w:val="default"/>
    <w:sig w:usb0="00000001" w:usb1="080E0000" w:usb2="00000000" w:usb3="00000000" w:csb0="00040000" w:csb1="00000000"/>
    <w:embedRegular r:id="rId10" w:fontKey="{15AEA34E-DC39-479E-B37D-FF9C82BBEC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A4333"/>
    <w:multiLevelType w:val="multilevel"/>
    <w:tmpl w:val="03FA4333"/>
    <w:lvl w:ilvl="0" w:tentative="0">
      <w:start w:val="1"/>
      <w:numFmt w:val="decimal"/>
      <w:pStyle w:val="3"/>
      <w:lvlText w:val="%1."/>
      <w:lvlJc w:val="left"/>
      <w:pPr>
        <w:tabs>
          <w:tab w:val="left" w:pos="1050"/>
        </w:tabs>
        <w:ind w:left="1050" w:hanging="420"/>
      </w:pPr>
      <w:rPr>
        <w:rFonts w:hint="eastAsia"/>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rawingGridVerticalSpacing w:val="143"/>
  <w:displayHorizontalDrawingGridEvery w:val="1"/>
  <w:displayVerticalDrawingGridEvery w:val="1"/>
  <w:noPunctuationKerning w:val="1"/>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2MjE4ODhlYTVmMWM4M2Y1ODY0NGVlOTI0MjIzYmYifQ=="/>
  </w:docVars>
  <w:rsids>
    <w:rsidRoot w:val="00000000"/>
    <w:rsid w:val="0160084E"/>
    <w:rsid w:val="01D37B60"/>
    <w:rsid w:val="02F418A4"/>
    <w:rsid w:val="03CB5125"/>
    <w:rsid w:val="03FB004C"/>
    <w:rsid w:val="04534620"/>
    <w:rsid w:val="04ED064B"/>
    <w:rsid w:val="0D5804A6"/>
    <w:rsid w:val="0F284331"/>
    <w:rsid w:val="0FEEE8A0"/>
    <w:rsid w:val="11092A40"/>
    <w:rsid w:val="11115CB8"/>
    <w:rsid w:val="11492705"/>
    <w:rsid w:val="11EA7814"/>
    <w:rsid w:val="13821F27"/>
    <w:rsid w:val="14684123"/>
    <w:rsid w:val="157727EC"/>
    <w:rsid w:val="172767DB"/>
    <w:rsid w:val="17D205FA"/>
    <w:rsid w:val="18623DCC"/>
    <w:rsid w:val="1AE263EA"/>
    <w:rsid w:val="1B5D2B5F"/>
    <w:rsid w:val="1CE6075B"/>
    <w:rsid w:val="1EE11F1E"/>
    <w:rsid w:val="1EE8290B"/>
    <w:rsid w:val="1FD75EB6"/>
    <w:rsid w:val="20A3113B"/>
    <w:rsid w:val="232A684C"/>
    <w:rsid w:val="2346636F"/>
    <w:rsid w:val="2409256C"/>
    <w:rsid w:val="242C6A33"/>
    <w:rsid w:val="24AA3A10"/>
    <w:rsid w:val="266572C6"/>
    <w:rsid w:val="27005B64"/>
    <w:rsid w:val="274D5443"/>
    <w:rsid w:val="299F6932"/>
    <w:rsid w:val="2AFFCE6A"/>
    <w:rsid w:val="2D346AB0"/>
    <w:rsid w:val="2F7E064A"/>
    <w:rsid w:val="2FD91648"/>
    <w:rsid w:val="3A0E30A5"/>
    <w:rsid w:val="3A8E3378"/>
    <w:rsid w:val="3B050A8A"/>
    <w:rsid w:val="3BCBF988"/>
    <w:rsid w:val="3FDCA03C"/>
    <w:rsid w:val="410F0A26"/>
    <w:rsid w:val="42295387"/>
    <w:rsid w:val="427F1BDB"/>
    <w:rsid w:val="460B7CA5"/>
    <w:rsid w:val="486B21E5"/>
    <w:rsid w:val="48797B96"/>
    <w:rsid w:val="4A0A6440"/>
    <w:rsid w:val="4B801F8A"/>
    <w:rsid w:val="4CE40FD3"/>
    <w:rsid w:val="4F44537B"/>
    <w:rsid w:val="4F9759E6"/>
    <w:rsid w:val="52391D98"/>
    <w:rsid w:val="52B33777"/>
    <w:rsid w:val="558D0A1F"/>
    <w:rsid w:val="55B455C5"/>
    <w:rsid w:val="560B1CAC"/>
    <w:rsid w:val="599C49B9"/>
    <w:rsid w:val="5C290C8A"/>
    <w:rsid w:val="5DA20EA9"/>
    <w:rsid w:val="5E9E4C37"/>
    <w:rsid w:val="5F7FFAF6"/>
    <w:rsid w:val="61CB3EFE"/>
    <w:rsid w:val="6281516D"/>
    <w:rsid w:val="62D60F4C"/>
    <w:rsid w:val="65DB1536"/>
    <w:rsid w:val="65E21236"/>
    <w:rsid w:val="67F90874"/>
    <w:rsid w:val="67FD1D63"/>
    <w:rsid w:val="68897FA3"/>
    <w:rsid w:val="69436FE9"/>
    <w:rsid w:val="69FB1ED6"/>
    <w:rsid w:val="6ACF2366"/>
    <w:rsid w:val="6B637008"/>
    <w:rsid w:val="6C2F18FC"/>
    <w:rsid w:val="6C305B70"/>
    <w:rsid w:val="6C357761"/>
    <w:rsid w:val="6D74AF0D"/>
    <w:rsid w:val="6E81246D"/>
    <w:rsid w:val="6F3F7F36"/>
    <w:rsid w:val="6F620AA6"/>
    <w:rsid w:val="6FFDF69D"/>
    <w:rsid w:val="6FFF6C93"/>
    <w:rsid w:val="713F2E04"/>
    <w:rsid w:val="72065F6B"/>
    <w:rsid w:val="73F7CD6E"/>
    <w:rsid w:val="744D3038"/>
    <w:rsid w:val="74935932"/>
    <w:rsid w:val="777FC23F"/>
    <w:rsid w:val="77C74D6A"/>
    <w:rsid w:val="77FF3EC8"/>
    <w:rsid w:val="79DB7B2F"/>
    <w:rsid w:val="7B19216A"/>
    <w:rsid w:val="7B4C1BE3"/>
    <w:rsid w:val="7B5FFC65"/>
    <w:rsid w:val="7BE36436"/>
    <w:rsid w:val="7BFE449F"/>
    <w:rsid w:val="7C2E0A90"/>
    <w:rsid w:val="7C5E4A05"/>
    <w:rsid w:val="7DDF6215"/>
    <w:rsid w:val="7DEA37CC"/>
    <w:rsid w:val="7DFE1375"/>
    <w:rsid w:val="7ED01303"/>
    <w:rsid w:val="7F4CB546"/>
    <w:rsid w:val="7F9E210D"/>
    <w:rsid w:val="7FB762E1"/>
    <w:rsid w:val="7FFD942B"/>
    <w:rsid w:val="ABFF4D8C"/>
    <w:rsid w:val="B5FA5406"/>
    <w:rsid w:val="BFBD7D0A"/>
    <w:rsid w:val="BFE6161F"/>
    <w:rsid w:val="BFFB7A62"/>
    <w:rsid w:val="C66BE695"/>
    <w:rsid w:val="CF3FB0AF"/>
    <w:rsid w:val="CF5FEF4B"/>
    <w:rsid w:val="CFF71F61"/>
    <w:rsid w:val="DC5D767D"/>
    <w:rsid w:val="DFC2F812"/>
    <w:rsid w:val="E4E51B49"/>
    <w:rsid w:val="EECDA7FB"/>
    <w:rsid w:val="F7DBA580"/>
    <w:rsid w:val="FA9B898B"/>
    <w:rsid w:val="FBF4104C"/>
    <w:rsid w:val="FF8FAD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rPr>
  </w:style>
  <w:style w:type="paragraph" w:styleId="2">
    <w:name w:val="heading 2"/>
    <w:basedOn w:val="1"/>
    <w:next w:val="1"/>
    <w:unhideWhenUsed/>
    <w:qFormat/>
    <w:uiPriority w:val="99"/>
    <w:pPr>
      <w:keepNext/>
      <w:keepLines/>
      <w:spacing w:before="260" w:after="260" w:line="416" w:lineRule="auto"/>
      <w:outlineLvl w:val="1"/>
    </w:pPr>
    <w:rPr>
      <w:rFonts w:ascii="Calibri Light" w:hAnsi="Calibri Light" w:eastAsia="宋体" w:cs="Times New Roman"/>
      <w:b/>
      <w:bCs/>
      <w:sz w:val="32"/>
      <w:szCs w:val="32"/>
    </w:rPr>
  </w:style>
  <w:style w:type="paragraph" w:styleId="3">
    <w:name w:val="heading 3"/>
    <w:basedOn w:val="1"/>
    <w:next w:val="1"/>
    <w:qFormat/>
    <w:uiPriority w:val="0"/>
    <w:pPr>
      <w:keepNext/>
      <w:keepLines/>
      <w:numPr>
        <w:ilvl w:val="0"/>
        <w:numId w:val="1"/>
      </w:numPr>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unhideWhenUsed/>
    <w:qFormat/>
    <w:uiPriority w:val="0"/>
    <w:pPr>
      <w:spacing w:after="120" w:afterLines="0" w:afterAutospacing="0"/>
      <w:ind w:left="420" w:leftChars="200"/>
    </w:pPr>
  </w:style>
  <w:style w:type="paragraph" w:styleId="5">
    <w:name w:val="List"/>
    <w:basedOn w:val="1"/>
    <w:qFormat/>
    <w:uiPriority w:val="0"/>
    <w:pPr>
      <w:widowControl/>
      <w:spacing w:line="425" w:lineRule="atLeast"/>
      <w:ind w:left="200" w:hanging="200" w:hangingChars="200"/>
      <w:textAlignment w:val="baseline"/>
    </w:pPr>
    <w:rPr>
      <w:color w:val="000000"/>
      <w:kern w:val="0"/>
      <w:u w:val="none" w:color="00000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unhideWhenUsed/>
    <w:qFormat/>
    <w:uiPriority w:val="0"/>
    <w:pPr>
      <w:ind w:firstLine="420" w:firstLineChars="200"/>
    </w:pPr>
  </w:style>
  <w:style w:type="paragraph" w:customStyle="1" w:styleId="11">
    <w:name w:val="Heading4"/>
    <w:basedOn w:val="1"/>
    <w:next w:val="1"/>
    <w:qFormat/>
    <w:uiPriority w:val="99"/>
    <w:pPr>
      <w:spacing w:line="400" w:lineRule="exact"/>
    </w:pPr>
    <w:rPr>
      <w:szCs w:val="28"/>
    </w:rPr>
  </w:style>
  <w:style w:type="character" w:customStyle="1" w:styleId="12">
    <w:name w:val="font21"/>
    <w:basedOn w:val="10"/>
    <w:qFormat/>
    <w:uiPriority w:val="0"/>
    <w:rPr>
      <w:rFonts w:hint="eastAsia" w:ascii="宋体" w:hAnsi="宋体" w:eastAsia="宋体" w:cs="宋体"/>
      <w:color w:val="000000"/>
      <w:sz w:val="16"/>
      <w:szCs w:val="16"/>
      <w:u w:val="none"/>
    </w:rPr>
  </w:style>
  <w:style w:type="character" w:customStyle="1" w:styleId="13">
    <w:name w:val="font01"/>
    <w:basedOn w:val="10"/>
    <w:qFormat/>
    <w:uiPriority w:val="0"/>
    <w:rPr>
      <w:rFonts w:ascii="黑体" w:hAnsi="宋体" w:eastAsia="黑体" w:cs="黑体"/>
      <w:b/>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10372</Words>
  <Characters>11017</Characters>
  <TotalTime>1</TotalTime>
  <ScaleCrop>false</ScaleCrop>
  <LinksUpToDate>false</LinksUpToDate>
  <CharactersWithSpaces>11044</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2021-11-27T17:03:00Z</dcterms:created>
  <dc:creator>openxml-sdk </dc:creator>
  <dc:description>openxml-sdk, CCi Textin Word Converter, JL</dc:description>
  <cp:keywords>CCi</cp:keywords>
  <cp:lastModifiedBy>浅唱</cp:lastModifiedBy>
  <cp:lastPrinted>2026-04-02T05:18:00Z</cp:lastPrinted>
  <dcterms:modified xsi:type="dcterms:W3CDTF">2026-04-02T08:36:34Z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587DCE37FAE14E938029CBDF8D478B1E</vt:lpwstr>
  </property>
  <property fmtid="{D5CDD505-2E9C-101B-9397-08002B2CF9AE}" pid="4" name="KSOTemplateDocerSaveRecord">
    <vt:lpwstr>eyJoZGlkIjoiM2ViYjA4MWI0ODE5Zjc1NGM1NTc5N2E2NzAzN2RhOTciLCJ1c2VySWQiOiIyNDI3MDE2MTkifQ==</vt:lpwstr>
  </property>
</Properties>
</file>