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ody>
    <w:p>
      <w:pPr>
        <w:spacing w:line="540" w:lineRule="exact"/>
        <w:jc w:val="left"/>
        <w:rPr>
          <w:rFonts w:ascii="仿宋" w:cs="宋体" w:eastAsia="仿宋" w:hAnsi="仿宋"/>
          <w:kern w:val="0"/>
          <w:sz w:val="32"/>
          <w:szCs w:val="32"/>
        </w:rPr>
      </w:pPr>
      <w:r>
        <w:rPr>
          <w:rFonts w:ascii="仿宋" w:cs="宋体" w:eastAsia="仿宋" w:hAnsi="仿宋" w:hint="eastAsia"/>
          <w:kern w:val="0"/>
          <w:sz w:val="32"/>
          <w:szCs w:val="32"/>
        </w:rPr>
        <w:t>附件2：</w:t>
      </w: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方正小标宋_GBK" w:cs="宋体" w:eastAsia="方正小标宋_GBK" w:hAnsi="华文中宋"/>
          <w:b/>
          <w:kern w:val="0"/>
          <w:sz w:val="48"/>
          <w:szCs w:val="48"/>
        </w:rPr>
      </w:pPr>
      <w:r>
        <w:rPr>
          <w:rFonts w:ascii="方正小标宋_GBK" w:cs="宋体" w:eastAsia="方正小标宋_GBK" w:hAnsi="华文中宋" w:hint="eastAsia"/>
          <w:b/>
          <w:kern w:val="0"/>
          <w:sz w:val="48"/>
          <w:szCs w:val="48"/>
        </w:rPr>
        <w:t>自治区财政项目支出绩效自评报告</w:t>
      </w:r>
    </w:p>
    <w:p>
      <w:pPr>
        <w:spacing w:line="540" w:lineRule="exact"/>
        <w:jc w:val="center"/>
        <w:rPr>
          <w:rFonts w:ascii="华文中宋" w:cs="宋体" w:eastAsia="华文中宋" w:hAnsi="华文中宋"/>
          <w:b/>
          <w:kern w:val="0"/>
          <w:sz w:val="52"/>
          <w:szCs w:val="52"/>
        </w:rPr>
      </w:pPr>
    </w:p>
    <w:p>
      <w:pPr>
        <w:spacing w:line="540" w:lineRule="exact"/>
        <w:jc w:val="center"/>
        <w:rPr>
          <w:rFonts w:cs="宋体" w:eastAsia="仿宋_GB2312" w:hAnsi="宋体"/>
          <w:kern w:val="0"/>
          <w:sz w:val="36"/>
          <w:szCs w:val="36"/>
        </w:rPr>
      </w:pPr>
      <w:r>
        <w:rPr>
          <w:rFonts w:cs="宋体" w:eastAsia="仿宋_GB2312" w:hAnsi="宋体" w:hint="eastAsia"/>
          <w:kern w:val="0"/>
          <w:sz w:val="36"/>
          <w:szCs w:val="36"/>
        </w:rPr>
        <w:t xml:space="preserve">（   </w:t>
      </w:r>
      <w:r>
        <w:rPr>
          <w:rStyle w:val="18"/>
          <w:rFonts w:ascii="楷体" w:eastAsia="楷体" w:hAnsi="楷体" w:hint="eastAsia"/>
          <w:spacing w:val="-4"/>
          <w:sz w:val="32"/>
          <w:szCs w:val="32"/>
        </w:rPr>
        <w:t>2023</w:t>
      </w:r>
      <w:r>
        <w:rPr>
          <w:rFonts w:cs="宋体" w:eastAsia="仿宋_GB2312" w:hAnsi="宋体" w:hint="eastAsia"/>
          <w:kern w:val="0"/>
          <w:sz w:val="36"/>
          <w:szCs w:val="36"/>
        </w:rPr>
        <w:t xml:space="preserve">  年度）</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ascii="方正小标宋_GBK" w:cs="宋体" w:eastAsia="方正小标宋_GBK" w:hAnsi="宋体"/>
          <w:kern w:val="0"/>
          <w:sz w:val="36"/>
          <w:szCs w:val="36"/>
        </w:rPr>
      </w:pPr>
      <w:r>
        <w:rPr>
          <w:rFonts w:ascii="方正小标宋_GBK" w:cs="宋体" w:eastAsia="方正小标宋_GBK" w:hAnsi="宋体" w:hint="eastAsia"/>
          <w:kern w:val="0"/>
          <w:sz w:val="36"/>
          <w:szCs w:val="36"/>
        </w:rPr>
        <w:t>参考模板</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rPr>
          <w:rFonts w:cs="宋体" w:eastAsia="仿宋_GB2312" w:hAnsi="宋体"/>
          <w:kern w:val="0"/>
          <w:sz w:val="30"/>
          <w:szCs w:val="30"/>
        </w:rPr>
      </w:pPr>
    </w:p>
    <w:p>
      <w:pPr>
        <w:spacing w:line="700" w:lineRule="exact"/>
        <w:jc w:val="left"/>
        <w:rPr>
          <w:rFonts w:cs="宋体" w:eastAsia="仿宋_GB2312" w:hAnsi="宋体"/>
          <w:kern w:val="0"/>
          <w:sz w:val="36"/>
          <w:szCs w:val="36"/>
        </w:rPr>
      </w:pPr>
      <w:r>
        <w:rPr>
          <w:rFonts w:cs="宋体" w:eastAsia="仿宋_GB2312" w:hAnsi="宋体" w:hint="eastAsia"/>
          <w:kern w:val="0"/>
          <w:sz w:val="36"/>
          <w:szCs w:val="36"/>
        </w:rPr>
        <w:t xml:space="preserve">     </w:t>
      </w:r>
    </w:p>
    <w:p>
      <w:pPr>
        <w:spacing w:line="700" w:lineRule="exact"/>
        <w:ind w:firstLine="900" w:firstLineChars="250"/>
        <w:jc w:val="left"/>
        <w:rPr>
          <w:rFonts w:cs="宋体" w:eastAsia="仿宋_GB2312" w:hAnsi="宋体"/>
          <w:kern w:val="0"/>
          <w:sz w:val="36"/>
          <w:szCs w:val="36"/>
        </w:rPr>
      </w:pPr>
      <w:r>
        <w:rPr>
          <w:rFonts w:cs="宋体" w:eastAsia="仿宋_GB2312" w:hAnsi="宋体" w:hint="eastAsia"/>
          <w:kern w:val="0"/>
          <w:sz w:val="36"/>
          <w:szCs w:val="36"/>
        </w:rPr>
        <w:t>项目名称：</w:t>
      </w:r>
      <w:r>
        <w:rPr>
          <w:rStyle w:val="18"/>
          <w:rFonts w:ascii="楷体" w:eastAsia="楷体" w:hAnsi="楷体" w:hint="eastAsia"/>
          <w:spacing w:val="-4"/>
          <w:sz w:val="32"/>
          <w:szCs w:val="32"/>
        </w:rPr>
        <w:t>2023年自治区区域协同创新专项</w:t>
      </w:r>
    </w:p>
    <w:p>
      <w:pPr>
        <w:spacing w:line="540" w:lineRule="exact"/>
        <w:ind w:firstLine="567"/>
        <w:rPr>
          <w:rFonts w:ascii="楷体" w:eastAsia="楷体" w:hAnsi="楷体"/>
          <w:b/>
          <w:bCs/>
          <w:spacing w:val="-4"/>
          <w:sz w:val="32"/>
          <w:szCs w:val="32"/>
        </w:rPr>
      </w:pPr>
      <w:r>
        <w:rPr>
          <w:rFonts w:cs="宋体" w:eastAsia="仿宋_GB2312" w:hAnsi="宋体" w:hint="eastAsia"/>
          <w:kern w:val="0"/>
          <w:sz w:val="36"/>
          <w:szCs w:val="36"/>
        </w:rPr>
        <w:t xml:space="preserve">  实施单位（公章）：</w:t>
      </w:r>
      <w:r>
        <w:rPr>
          <w:rStyle w:val="18"/>
          <w:rFonts w:ascii="楷体" w:eastAsia="楷体" w:hAnsi="楷体" w:hint="eastAsia"/>
          <w:spacing w:val="-4"/>
          <w:sz w:val="28"/>
          <w:szCs w:val="28"/>
        </w:rPr>
        <w:t>自治区科学技术厅资源配置与管理处</w:t>
      </w:r>
    </w:p>
    <w:p>
      <w:pPr>
        <w:spacing w:line="540" w:lineRule="exact"/>
        <w:ind w:firstLine="900" w:firstLineChars="250"/>
        <w:rPr>
          <w:rFonts w:ascii="楷体" w:eastAsia="楷体" w:hAnsi="楷体"/>
          <w:b/>
          <w:bCs/>
          <w:spacing w:val="-4"/>
          <w:sz w:val="28"/>
          <w:szCs w:val="28"/>
        </w:rPr>
      </w:pPr>
      <w:r>
        <w:rPr>
          <w:rFonts w:cs="宋体" w:eastAsia="仿宋_GB2312" w:hAnsi="宋体" w:hint="eastAsia"/>
          <w:kern w:val="0"/>
          <w:sz w:val="36"/>
          <w:szCs w:val="36"/>
        </w:rPr>
        <w:t>主管部门（公章）：</w:t>
      </w:r>
      <w:r>
        <w:rPr>
          <w:rStyle w:val="18"/>
          <w:rFonts w:ascii="楷体" w:eastAsia="楷体" w:hAnsi="楷体" w:hint="eastAsia"/>
          <w:spacing w:val="-4"/>
          <w:sz w:val="28"/>
          <w:szCs w:val="28"/>
        </w:rPr>
        <w:t>自治区科学技术厅资源配置与管理处</w:t>
      </w:r>
    </w:p>
    <w:p>
      <w:pPr>
        <w:spacing w:line="540" w:lineRule="exact"/>
        <w:ind w:firstLine="900" w:firstLineChars="250"/>
        <w:rPr>
          <w:rFonts w:ascii="楷体" w:eastAsia="楷体" w:hAnsi="楷体"/>
          <w:b/>
          <w:bCs/>
          <w:spacing w:val="-4"/>
          <w:sz w:val="32"/>
          <w:szCs w:val="32"/>
        </w:rPr>
      </w:pPr>
      <w:r>
        <w:rPr>
          <w:rFonts w:cs="宋体" w:eastAsia="仿宋_GB2312" w:hAnsi="宋体" w:hint="eastAsia"/>
          <w:kern w:val="0"/>
          <w:sz w:val="36"/>
          <w:szCs w:val="36"/>
        </w:rPr>
        <w:t>项目负责人（签章）：</w:t>
      </w:r>
      <w:r>
        <w:rPr>
          <w:rStyle w:val="18"/>
          <w:rFonts w:ascii="楷体" w:eastAsia="楷体" w:hAnsi="楷体" w:hint="eastAsia"/>
          <w:spacing w:val="-4"/>
          <w:sz w:val="32"/>
          <w:szCs w:val="32"/>
        </w:rPr>
        <w:t>沙巴艾提·哈萨诺夫</w:t>
      </w:r>
    </w:p>
    <w:p>
      <w:pPr>
        <w:spacing w:line="540" w:lineRule="exact"/>
        <w:ind w:firstLine="567" w:left="273"/>
        <w:rPr>
          <w:rStyle w:val="18"/>
          <w:rFonts w:ascii="楷体" w:eastAsia="楷体" w:hAnsi="楷体"/>
          <w:spacing w:val="-4"/>
          <w:sz w:val="32"/>
          <w:szCs w:val="32"/>
        </w:rPr>
      </w:pPr>
      <w:r>
        <w:rPr>
          <w:rFonts w:cs="宋体" w:eastAsia="仿宋_GB2312" w:hAnsi="宋体" w:hint="eastAsia"/>
          <w:kern w:val="0"/>
          <w:sz w:val="36"/>
          <w:szCs w:val="36"/>
        </w:rPr>
        <w:t>填报时间：</w:t>
      </w:r>
      <w:r>
        <w:rPr>
          <w:rStyle w:val="18"/>
          <w:rFonts w:ascii="楷体" w:eastAsia="楷体" w:hAnsi="楷体" w:hint="eastAsia"/>
          <w:spacing w:val="-4"/>
          <w:sz w:val="32"/>
          <w:szCs w:val="32"/>
        </w:rPr>
        <w:t>2024年04月08日</w:t>
      </w:r>
    </w:p>
    <w:p>
      <w:pPr>
        <w:spacing w:line="700" w:lineRule="exact"/>
        <w:ind w:firstLine="708" w:firstLineChars="236"/>
        <w:jc w:val="left"/>
        <w:rPr>
          <w:rFonts w:cs="宋体" w:eastAsia="仿宋_GB2312" w:hAnsi="宋体"/>
          <w:kern w:val="0"/>
          <w:sz w:val="30"/>
          <w:szCs w:val="30"/>
        </w:rPr>
      </w:pPr>
    </w:p>
    <w:p>
      <w:pPr>
        <w:spacing w:line="540" w:lineRule="exact"/>
        <w:rPr>
          <w:rStyle w:val="18"/>
          <w:rFonts w:ascii="黑体" w:eastAsia="黑体" w:hAnsi="黑体"/>
          <w:b w:val="0"/>
          <w:spacing w:val="-4"/>
          <w:sz w:val="32"/>
          <w:szCs w:val="32"/>
        </w:rPr>
      </w:pP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一、基本情况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（一）项目概况。包括项目背景、主要内容及实施情况、资金投入和使用情况等。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1.项目背景</w:t>
        <w:br/>
        <w:t xml:space="preserve">    自治区区域协同创新专项，设有自治区区域协同创新专项-科技援疆计划项目、上海合作组织科技伙伴计划及国际科技合作计划，其中科技援疆计划项目主要围绕自治区对科技创新工作的总体要求，聚焦新疆“八大产业集群”建设和地方特色产业，发挥“大科技”援疆格局优势，引导区内外高校、科研院所、企业的交流合作，促进新技术、新资源、新成果在新疆转化应用和产业化发展；上海合作组织科技伙伴计划及国际科技合作计划以推进“一港、两区、五大中心和口岸经济带”建设，加快建设丝绸之路经济带核心区为主线，立足新发展阶段，贯彻新发展理念，积极融入国家国际科技合作总体布局，聚焦新疆重大战略任务和八大产业集群发展的科技需求，聚焦自治区科技创新“十四五”规划的主要任务，以科技创新领域交流合作为先导，加强同丝绸之路经济带沿线国家特别是新疆周边国家开展科技创新合作，全面塑造发展新优势，助推我区经济社会高质量发展。</w:t>
        <w:br/>
        <w:t>2.主要内容及实施情况</w:t>
        <w:br/>
        <w:t>自治区区域协同创新专项-科技援疆计划项目围绕实现新疆社会稳定和长治久安总目标，坚持创新驱动，充分发挥科技援疆机制的综合引领作用，积极引导全国科技力量向新疆集聚，面向市场需求，促进新技术、新资源、新成果在新疆转化应用和产业化发展。2023年均为结转项目，共计127项。</w:t>
        <w:br/>
        <w:t>2023年自治区上海合作组织科技伙伴计划及国际科技合作计划项目通过专家评审、厅项目审定委员会会议研究，确定2023年自治区上海合作组织科技伙伴计划及国际科技合作计划项目53项，项目研究领域涉及农业、新材料、能源、人口健康、生态环境、平台建设等学科；均为结转项目53项。</w:t>
        <w:br/>
        <w:t>3.资金投入和使用情况</w:t>
        <w:br/>
        <w:t>自治区区域协同创新专项-科技援疆计划项目2023年共下达自治区财政经费2000万元，截至2023年6月底该项目实际支付2000万元，支付完成率100%。</w:t>
        <w:br/>
        <w:t>上海合作组织科技伙伴计划及国际科技合作计划2023年度安排财政科技专项资金共1000万元，用于拨付结转项目等。截止12月底该项目实际支付1000万元，支付完成率100%。</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（二）项目绩效目标。包括总体目标和阶段性目标。</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项目绩效目标</w:t>
        <w:br/>
        <w:t>项目支出绩效自评表</w:t>
        <w:br/>
        <w:t>(2023年度)</w:t>
        <w:br/>
        <w:t>项目名称	自治区区域协同创新专项</w:t>
        <w:br/>
        <w:t>主管部门	自治区科学技术厅	实施单位	自创区建设与科技援疆处、国际合作处</w:t>
        <w:br/>
        <w:t>项目资金</w:t>
        <w:br/>
        <w:t>（万元）		年初预算数	全年预算数	全年执行数	分值	执行率	得分</w:t>
        <w:br/>
        <w:t>	年度资金总额	3000.00	3000.00	3000.00	10	100%	10.00分</w:t>
        <w:br/>
        <w:t>	其中：当年财政拨款	3000	3000	3000	—	—	—</w:t>
        <w:br/>
        <w:t>	      上年结转资金	0	0		—	—	—</w:t>
        <w:br/>
        <w:t>	  其他资金	0	0		—	—	—</w:t>
        <w:br/>
        <w:t>年度总体目标	预期目标	实际完成情况</w:t>
        <w:br/>
        <w:t>	目标1：以激发科研人员的积极性创造性为核心，实行项目申报、立项、过程管理、科技报告、验收、科研诚信等过程信息化管理；按期完成项目申报、论证、立项、监督过程，按期完成项目各环节工作。                  目标2：以自治区产业需求为导向，鼓励具备科研优势的高校、院所、企业等申报主体，充分发挥援疆省市特色产业及技术优势，促进优质成果在新疆的转移转化，有效促进新疆地区特色产业发展及技术水平提升。      目标3：推广转化应用新技术数量达到50件，培养、引进高层次人才50名，申请国家专利/著作权数量30件，提升优质科技成果转化水平，持续提高科研人员的积极性和创造性，提高开发应用新产品、新技术、新品种的能力，有效促进新疆地区特色产业发展及技术水平，使受扶持单位和相关科研人员的满意度达到90%以上。                                     目标4：围绕重点任务和目标，面向“一带一路”沿线国家特别是上海合作组织成员国等，支持在农业、生态环境、气候变化、碳达峰碳中和、矿产资源、新能源、新材料、装备制造、电子信息、生物医药、人口健康、灾害风险防控等领域开展联合研究；支持建设联合实验室、产业技术创新中心等国际科技创新合作平台；支持知识产权明晰、风险可控、综合效益明显的先进适用技术转移示范和推广应用。	2023年自治区区域协同创新专项以激发科研人员的积极性创造性为核心，实行项目申报、立项、过程管理、科技报告、验收、科研诚信等过程信息化管理；按期完成项目申报、论证、立项、监督过程，按期完成项目各环节工作。以自治区产业需求为导向，鼓励具备科研优势的高校、院所、企业等申报主体，充分发挥援疆省市特色产业及技术优势，促进优质成果在新疆的转移转化，有效促进新疆地区特色产业发展及技术水平提升。推广转化应用新技术数量达到61件，培养、引进高层次人才59人次，开展各类培训51场次，申请国家专利/著作权数量34件，与18个国家建立“互惠互利”友好人文交流合作关系，提升优质科技成果转化水平，持续提高科研人员的积极性和创造性，提高开发应用新产品、新技术、新品种的能力，有效促进新疆地区特色产业发展及技术水平，使受扶持单位和相关科研人员的满意度达到90%以上。</w:t>
        <w:br/>
        <w:t>	一级指标	二级指标	三级指标	年度指标值	实际完成值	分值	得分	偏差原因分析及改进措施</w:t>
        <w:br/>
        <w:t>年度绩效指标完成情况	产出指标	数量指标	支持国际合作项目数量	&gt;=20个	25个	6	4.5	</w:t>
        <w:br/>
        <w:t>		数量指标	推广转化应用新技术数量	&gt;=50个	61个	6	4.68	</w:t>
        <w:br/>
        <w:t>		数量指标	培养、引进高层次人才	&gt;=50人	59人	7	5.74	</w:t>
        <w:br/>
        <w:t>		数量指标	开展各类培训场次	&gt;=40次	51次	7	5.11	</w:t>
        <w:br/>
        <w:t>		质量指标	申请国家专利/著作权数量	&gt;=30个	34	7	6.09	</w:t>
        <w:br/>
        <w:t>		时效指标	项目验收通过率	&gt;=85%	100%	7	7	</w:t>
        <w:br/>
        <w:t>	成本指标	经济成本指标	上合组织科技伙伴计划投入资金额度	&lt;=1000万元	1000万	10	10	</w:t>
        <w:br/>
        <w:t>		经济成本指标	自治区科技援疆计划投入资金额度	&lt;=1000万元	2000万	10	0	</w:t>
        <w:br/>
        <w:t>效益	效益指标	经济效益指标	带动社会投入与财政资金投入比例	1:1	1:1	10	10	</w:t>
        <w:br/>
        <w:t>		社会效益指标	促进援疆省市新技术、新资源、新成果在新疆转化应用和产业化发展	有效促进	有效促进	10	10	</w:t>
        <w:br/>
        <w:t>	满意度指标	满意度指标	受扶持单位的满意度	&gt;=90%	90%	5	5	</w:t>
        <w:br/>
        <w:t>		满意度指标	受扶持单位科研人员的满意度	&gt;=90%	90%	5	5	</w:t>
        <w:br/>
        <w:t>总分	100	83.12	</w:t>
      </w: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</w:t>
        <w:br/>
        <w:t>1.绩效评价目的</w:t>
        <w:br/>
        <w:t>（1）通过对自治区区域协同创新专项专项项目开展绩效评价，了解和掌握项目实施的具体情况，客观评价其项目资金安排的科学性、合理性、规范性和资金使用成效，及时总结项目管理经验，完善项目管理办法，提高项目管理水平和资金的使用效益。</w:t>
        <w:br/>
        <w:t>（2）督促项目承担单位根据绩效评价中发现的问题，认真加以整改，及时调整和完善项目工作计划，按照绩效目标稳步推进项目，并加强项目管理，提高管理水平，为项目后续资金投入、分配和管理提供决策依据。</w:t>
        <w:br/>
        <w:t>2.绩效评价对象和范围</w:t>
        <w:br/>
        <w:t>本次评价从项目决策、项目管理、项目产出、项目效益四个维度进行，评价对象为2022年度自治区区域协同创新专项项目，包含2个子项目，科技援疆计划共142个项目（含上年度结转81项），上海合作组织科技伙伴计划及国际科技合作计划53个项目（含上年结转25个项目）</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</w:t>
        <w:br/>
        <w:t>1.绩效评价原则</w:t>
        <w:br/>
        <w:t>依据《中华人民共和国预算法》《中华人民共和国预算法实施条例》《项目支出绩效评价管理办法》（财预〔2020〕10号）《财政部关于印发第三方机构绩效评价业务监督管理暂行办法的通知》（财监〔2021〕4号）《财政部关于委托第三方机构参与预算绩效管理的指导意见》（财预〔2021〕6号）《关于进一步加强和规范第三方机构参与预算绩效管理的通知》（新财预〔2021〕49号）系列文件的要求，本次绩效评价秉承科学规范、公正公开、分级分类、绩效相关等原则，按照从投入、过程到产出效果和影响的绩效逻辑路径，结合2023年度自治区区域协同创新专项项目实际开展情况，运用定量和定性分析相结合的方法，客观评价项目实施成效。</w:t>
        <w:br/>
        <w:t>根据以上原则，绩效评价应遵循如下要求：</w:t>
        <w:br/>
        <w:t>（1）在数据收集时，采取客观数据，主管处室审核的形式，以保证各项指标的真实性。</w:t>
        <w:br/>
        <w:t>（2）保证评价结果的真实性、公正性，提高评价报告的公信力。</w:t>
        <w:br/>
        <w:t>（3）绩效评价报告应当简明扼要，除了对绩效评价的过程、结果描述外，还应指出问题，并就共性问题提出可操作性改进建议。</w:t>
        <w:br/>
        <w:t>2.绩效评价指标体系</w:t>
        <w:br/>
        <w:t>本项目共设置项目决策、项目过程、项目产出、项目效果（满意度）四大1级指标，并按相关性要求分别设立2级和3级指标，具体内容详见附件1：2023年度自治区区域协同创新专项资金项目绩效评价指标体系（打分表）。项目绩效评价指标体系，评分表满分100分，见下表：</w:t>
        <w:br/>
        <w:t>项目支出绩效评价指标体系框架</w:t>
        <w:br/>
        <w:t>	一级指标	二级指标	权重</w:t>
        <w:br/>
        <w:t>	项目决策（20分）	项目立项	6</w:t>
        <w:br/>
        <w:t>		绩效目标	6</w:t>
        <w:br/>
        <w:t>		资金投入	8</w:t>
        <w:br/>
        <w:t>	项目过程（20分）	资金管理	10</w:t>
        <w:br/>
        <w:t>		组织实施	10</w:t>
        <w:br/>
        <w:t>	项目产出（40分）	数量指标	20</w:t>
        <w:br/>
        <w:t>		质量指标	6</w:t>
        <w:br/>
        <w:t>		时效指标	4</w:t>
        <w:br/>
        <w:t>		成本指标	10</w:t>
        <w:br/>
        <w:t>	 项目效果（20分）	社会效益指标	5</w:t>
        <w:br/>
        <w:t>		可持续影响指标	5</w:t>
        <w:br/>
        <w:t>		满意度指标	10</w:t>
        <w:br/>
        <w:t>合计	100</w:t>
        <w:br/>
        <w:t>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</w:t>
        <w:br/>
        <w:t>通过对绩效评价方法的综合运用，对获取的各类数据进行汇总、分类和分析。对于量化指标，进行量化分析，得出财政支出绩效评价的量化结果；对于定性指标，则通过调查问卷、组织会谈、项目组讨论等方法，对财政支出的效果进行定性评价。</w:t>
        <w:br/>
        <w:t>3.评价方法</w:t>
        <w:br/>
        <w:t>2023年度自治区区域协同创新专项项目绩效评价方法是通过对绩效目标与项目实施效果进行比较，综合分析绩效目标实现的程度。详细方法应用如下：</w:t>
        <w:br/>
        <w:t>比较法：通过梳理该项目实施方案和实际完成情况，评价产出指标的完成情况，分析项目实施后产生的效益效果。</w:t>
        <w:br/>
        <w:t>4.评价标准</w:t>
        <w:br/>
        <w:t>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</w:t>
        <w:br/>
        <w:t>（三）绩效评价工作过程</w:t>
        <w:br/>
        <w:t>根据自治区财政厅绩效评价工作部署和要求，相关处室组织项目承担单位报送绩效自评报告，对项目绩效自评报告进行审核，对存在的疑问进行了核查。</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根据自治区财政厅绩效评价工作部署和要求，相关处室组织项目承担单位报送绩效自评报告，对项目绩效自评报告进行审核，对存在的疑问进行了核查。</w:t>
      </w:r>
    </w:p>
    <w:p>
      <w:pPr>
        <w:spacing w:line="540" w:lineRule="exact"/>
        <w:ind w:firstLine="640"/>
        <w:rPr>
          <w:rStyle w:val="18"/>
          <w:rFonts w:ascii="黑体" w:eastAsia="黑体" w:hAnsi="黑体" w:hint="eastAsia"/>
          <w:b w:val="0"/>
          <w:spacing w:val="-4"/>
          <w:sz w:val="32"/>
          <w:szCs w:val="32"/>
        </w:rPr>
      </w:pPr>
      <w:r>
        <w:rPr>
          <w:rStyle w:val="18"/>
          <w:rFonts w:ascii="黑体" w:eastAsia="黑体" w:hAnsi="黑体" w:hint="eastAsia"/>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依据《项目支出绩效评价管理办法》（财预〔2020〕10号）有关规定，绩效评价总分设置为100分，划分为四档：90（含）-100分为优，80（含）-90分为良，60（含）-80分为中，60分以下为差。经相关处室综合分析评价，该项目得93.12分，绩效等级评定为“优”。该项目资金分配使用管理整体情况较好，项目的执行对发挥科技援疆机制的作用，加强区内外科研院所、高等院校、企业的交流合作，通过引进援疆省市成熟的科研成果在新疆转移转化、合作开展科技研发等，促进资金、项目、成果、人才向新疆集聚；支持以“一带一路”沿线国家及周边国家为重点，在双边、多边科技合作协议框架下开展国际科技合作与交流，推动社会经济发展具有积极促进作用。具体得分率及评分情况见下表: </w:t>
        <w:br/>
        <w:t>整体绩效分值</w:t>
        <w:br/>
        <w:t>一级指标	权重	分值	得分率（%）</w:t>
        <w:br/>
        <w:t>项目决策	20	20	100%</w:t>
        <w:br/>
        <w:t>项目过程	20	20	100%</w:t>
        <w:br/>
        <w:t>项目产出	40	33.12	82.8%</w:t>
        <w:br/>
        <w:t>项目效益	20	20	100%</w:t>
        <w:br/>
        <w:t>合  计	100	93.12	93.12%</w:t>
      </w:r>
    </w:p>
    <w:p>
      <w:pPr>
        <w:spacing w:line="540" w:lineRule="exact"/>
        <w:ind w:firstLine="640"/>
        <w:rPr>
          <w:rStyle w:val="18"/>
          <w:rFonts w:ascii="黑体" w:eastAsia="黑体" w:hAnsi="黑体"/>
        </w:rPr>
      </w:pPr>
      <w:r>
        <w:rPr>
          <w:rStyle w:val="18"/>
          <w:rFonts w:ascii="黑体" w:eastAsia="黑体" w:hAnsi="黑体" w:hint="eastAsia"/>
          <w:b w:val="0"/>
          <w:spacing w:val="-4"/>
          <w:sz w:val="32"/>
          <w:szCs w:val="32"/>
        </w:rPr>
        <w:t>四、</w:t>
      </w:r>
      <w:r>
        <w:rPr>
          <w:rStyle w:val="18"/>
          <w:rFonts w:hint="eastAsia"/>
          <w:spacing w:val="-4"/>
          <w:sz w:val="32"/>
          <w:szCs w:val="32"/>
        </w:rPr>
        <w:t>绩效评价指标分析</w:t>
      </w:r>
      <w:r>
        <w:rPr>
          <w:rStyle w:val="18"/>
          <w:rFonts w:ascii="黑体" w:eastAsia="黑体" w:hAnsi="黑体" w:hint="eastAsia"/>
          <w:b w:val="0"/>
          <w:spacing w:val="-4"/>
          <w:sz w:val="32"/>
          <w:szCs w:val="32"/>
        </w:rPr>
        <w:t xml:space="preserve"> </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（一）项目决策情况。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（一）项目决策情况</w:t>
        <w:br/>
        <w:t>项目决策评价指标权重分值共计20分，根据评分标准得分20分、失分0分、得分率100%，具体如下：</w:t>
        <w:br/>
        <w:t>一级指标	二级指标	三级指标	目标值	权重	得分</w:t>
        <w:br/>
        <w:t>A决策</w:t>
        <w:br/>
        <w:t>（20分）　	A1项目立项</w:t>
        <w:br/>
        <w:t>（6分）	A11立项依据	充分	3	3</w:t>
        <w:br/>
        <w:t>		A12立项程序规范性	合规	3	3</w:t>
        <w:br/>
        <w:t>	A2绩效目标</w:t>
        <w:br/>
        <w:t>（6分）	A21绩效目标合理性	合理	3	3</w:t>
        <w:br/>
        <w:t>		A22绩效指标明确性	明确	3	3</w:t>
        <w:br/>
        <w:t>	A3资金投入</w:t>
        <w:br/>
        <w:t>（8分）	A31预算编制科学性	科学	4	4</w:t>
        <w:br/>
        <w:t>		A32资金分配合理性	合理	4	4</w:t>
        <w:br/>
        <w:t>合计	20	20</w:t>
        <w:br/>
        <w:t>（1）A11立项依据充分性指标</w:t>
        <w:br/>
        <w:t>2023年项目均为结转项目，按照《新疆维吾尔自治区科技计划项目管理办法》（新科规〔2019〕1号）和《新疆维吾尔自治区科技计划项目管理办法实施细则（暂行）》（新科规〔2022〕1号）文件要求，“自治区区域协同创新专项计划，通过区域创新合作提升自主创新能力，推动创新发展。”项目立项符合国家法律法规、国民经济发展规划和相关政策，得1分。</w:t>
        <w:br/>
        <w:t>2023年自治区区域协同创新专项项目按照自治区科技和经济社会的发展目标筛选，与自治区科技厅贯彻执行党中央、国务院和自治区党委、自治区人民政府关于落实国家创新驱动发展战略方针、政策职责范围相符，属于部门履职所需，得1分。</w:t>
        <w:br/>
        <w:t>根据《预算法》，项目属于公共财政支持范围，符合《国务院关于推进中央与地方财政事权和支出责任划分改革的指导意见》（国发〔2016〕49号）中关于“地方的财政事权由地方承担支出责任”的中央、地方事权支出责任划分原则，得1分。</w:t>
        <w:br/>
        <w:t>该指标满分为3分，根据评分标准得3分。</w:t>
        <w:br/>
        <w:t>（2）A12立项程序规范性指标</w:t>
        <w:br/>
        <w:t>2023年结转的自治区区域协同创新专项均按照《新疆维吾尔自治区科技计划项目管理办法》（新科规〔2019〕1号）和《新疆维吾尔自治区科技计划项目管理办法实施细则（暂行）》（新科规〔2022〕1号）要求的程序开展项目申报、项目论证等工作，符合相关要求，得1分。</w:t>
        <w:br/>
        <w:t>2023年自治区区域协同创新专项项目按照自治区科技和经济社会的发展目标筛选，与自治区科技厅贯彻执行党中央、国务院和自治区党委、自治区人民政府关于落实国家创新驱动发展战略方针、政策职责范围相符，属于部门履职所需，得1分。</w:t>
        <w:br/>
        <w:t>项目立项前已经过必要的可行性研究、专家论证、绩效评估、集体决策，得1分。</w:t>
        <w:br/>
        <w:t>该指标满分为3分，根据评分标准得3分。</w:t>
        <w:br/>
        <w:t>2.绩效目标</w:t>
        <w:br/>
        <w:t>（1）A21绩效目标合理性</w:t>
        <w:br/>
        <w:t>《2023年度自治区区域协同创新专项项目支出绩效目标表》以及各子项目的项目支出绩效目标表，该项目有绩效目标，得1分。</w:t>
        <w:br/>
        <w:t>各子项目的申报书、实施方案、预算书已经专家评审、自治区科技厅审核，项目预期产出效益和效果基本符合正常的业绩水平,得1分。</w:t>
        <w:br/>
        <w:t>项目绩效目标表填报预算为3,000万元，与《2023年自治区区域协同创新专项资金分配表》中项目下拨资金一致，得1分。</w:t>
        <w:br/>
        <w:t>该指标满分为3分，根据评分标准得3分。</w:t>
        <w:br/>
        <w:t>（2）A22绩效指标明确性</w:t>
        <w:br/>
        <w:t>项目绩效目标表设置了共性指标和个性指标两大类。共性指标下设决策与过程2个一级指标，其中：项目决策下设项目立项、绩效目标、资金投入3个二级指标；项目过程下设资金管理和组织实施2个二级指标。个性指标下设产出、成本、效益和满意度4个一级指标，其中：产出指标下设数量、质量、时效3个二级指标；成本指标下设经济成本指标2个二级指标，效益指标下设经济效益、社会效益、可持续影响、满意度3个二级指标。三级指标共12个，其中量化指标10个，指标量化率为83.33%，项目绩效目标中产出指标已细化分解，具体指标清晰、可衡量，得1分。</w:t>
        <w:br/>
        <w:t>2023年自治区自治区区域协同创新专项项目绩效目标总任务为各子项目计划完成的绩效目标合计，目标任务与计划数相对应，得1分。</w:t>
        <w:br/>
        <w:t>2023年自治区区域协同创新专项项目绩效目标总任务为各子项目计划完成的绩效目标合计，目标任务与计划数相对应，得1分。</w:t>
        <w:br/>
        <w:t>该指标满分为3分，根据评分标准得3分。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（二）项目过程情况。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（二）项目过程情况</w:t>
        <w:br/>
        <w:t>一级指标	二级指标	三级指标	目标值	权重	得分</w:t>
        <w:br/>
        <w:t>B项目过程</w:t>
        <w:br/>
        <w:t>（20分）	B1资金管理</w:t>
        <w:br/>
        <w:t>（10分）	B11 资金到位率	100%	2	2</w:t>
        <w:br/>
        <w:t>		B12 预算执行率	100%	4	4</w:t>
        <w:br/>
        <w:t>		B13 资金使用合规性	合规	4	4</w:t>
        <w:br/>
        <w:t>	B2组织实施</w:t>
        <w:br/>
        <w:t>（10分）	B21 管理制度健全性	健全	5	5</w:t>
        <w:br/>
        <w:t>		B22制度执行有效性	有效	5	5</w:t>
        <w:br/>
        <w:t>合计				20	20</w:t>
        <w:br/>
        <w:t>（1）B11资金到位率指标  </w:t>
        <w:br/>
        <w:t>资金到位率=（实际到位资金/预算资金）×100%。</w:t>
        <w:br/>
        <w:t>到位率100%得4分，到位率≥90%得3分，到位率≥80%得2分，到位率≥70%得1分，低于70%的不得分。</w:t>
        <w:br/>
        <w:t>根据《关于调整下达2022年自治区科技计划专项资金的通知》，该项目总预算资金为3000万元，已分配至项目承担单位，到位率为100%。</w:t>
        <w:br/>
        <w:t>该指标满分为2分，根据评分标准得2分。</w:t>
        <w:br/>
        <w:t>（2）B12预算执行率</w:t>
        <w:br/>
        <w:t>预算执行率=（实际使用资金/到位资金）×100%。</w:t>
        <w:br/>
        <w:t>执行率100%得4分，执行率≥70%得3分，执行率≥50%得2分，执行率≥20%得1分，低于20%的不得分。</w:t>
        <w:br/>
        <w:t>根据项目拨款情况统计表，截止2023年12月31日，预算执行率为100%。</w:t>
        <w:br/>
        <w:t>该指标满分为4分，根据评分标准得4分。</w:t>
        <w:br/>
        <w:t>（3）B13资金使用合规性</w:t>
        <w:br/>
        <w:t>根据项目承担单位提供的资金执行情况统计表，项目承担单位在资金使用方面符合国家财经法规和财务管理制度以及有关专项资金管理办法的规定。</w:t>
        <w:br/>
        <w:t>该指标满分为4分，根据评分标准得4分。</w:t>
        <w:br/>
        <w:t>2.组织实施</w:t>
        <w:br/>
        <w:t>（1）B21管理制度健全性</w:t>
        <w:br/>
        <w:t>2023年自治区区域协同创新专项根据《新疆维吾尔自治区科技计划项目管理办法》（新科规〔2019〕1号）和《新疆维吾尔自治区科技计划项目管理办法实施细则（暂行）》（新科规〔2022〕1号）制定了与科技项目相关的财务和业务管理制度，项目单位在执行管理的过程中均能做到有效执行。</w:t>
        <w:br/>
        <w:t>该指标满分为5分，根据评分标准得5分。</w:t>
        <w:br/>
        <w:t>（2）B22制度执行有效性</w:t>
        <w:br/>
        <w:t>2023年自治区区域协同创新专项的实施遵守《中华人民共和国预算法》和《新疆维吾尔自治区科技计划项目管理办法》（新科规〔2019〕1号）和《新疆维吾尔自治区科技计划项目管理办法实施细则（暂行）》（新科规〔2022〕1号）相关规定；目实施方案完整、细化，无调整，各项目基本能够按照实施方案和计划执行。</w:t>
        <w:br/>
        <w:t>该指标满分为5分，根据评分标准得5分。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（三）项目产出情况。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（三）项目产出情况</w:t>
        <w:br/>
        <w:t>自治区区域协同创新专项项目产出评价指标权重分值共计40分，根据评分标准得分33.12分、失分6.8分、得分率82.8%，具体如下：</w:t>
        <w:br/>
        <w:t>一级指标	二级指标	三级指标	目标值	权重	完成</w:t>
        <w:br/>
        <w:t>情况	得分</w:t>
        <w:br/>
        <w:t>C项目</w:t>
        <w:br/>
        <w:t xml:space="preserve"> 产出</w:t>
        <w:br/>
        <w:t>（40分）</w:t>
        <w:br/>
        <w:t>	C1数量指标（26分）</w:t>
        <w:br/>
        <w:t>	C11支持国际合作项目数量	≥20个	5	25个	3.75</w:t>
        <w:br/>
        <w:t>		C12推广转化应用新技术数量	≥50个	5	61个	3.9</w:t>
        <w:br/>
        <w:t>		C13培养、引进高层次人才	≥50人	5	59人	4.05</w:t>
        <w:br/>
        <w:t>		C13开展各类培训场次	≥40次	5	51次	3.65</w:t>
        <w:br/>
        <w:t>	C2质量指标（7分）	C21申请国家专利/著作权数量	≥30个	6	34件	5.22</w:t>
        <w:br/>
        <w:t>	C3时效指标（7分）	C31项目验收通过率	≥85%	4	100%	4</w:t>
        <w:br/>
        <w:t>	C4成本指标</w:t>
        <w:br/>
        <w:t>	C41上合组织科技伙伴计划投入资金额度	&lt;=1000万元	5	&lt;=1000万元	5</w:t>
        <w:br/>
        <w:t>	C4成本指标</w:t>
        <w:br/>
        <w:t>	C42自治区科技援疆计划投入资金额度	&lt;=1000万元	5	&lt;=1000万元	5</w:t>
        <w:br/>
        <w:t>合计		40		34.57</w:t>
        <w:br/>
        <w:t>1.数量指标</w:t>
        <w:br/>
        <w:t>（1）C11支持国际合作项目数量</w:t>
        <w:br/>
        <w:t>2023年共支持国际合作项目25个，大于目标值，故得分3.75分，得分率75%</w:t>
        <w:br/>
        <w:t>该指标满分为5分，根据评分标准得3.75分。</w:t>
        <w:br/>
        <w:t>（2）C12推广转化应用新技术数量	</w:t>
        <w:br/>
        <w:t>根据各项目承担单位报送的绩效自评表，2023年度推广转化应用新技术61件；大于目标值，故得3.9分,得分率78%。</w:t>
        <w:br/>
        <w:t>该指标满分为5分，根据评分标准得3.9分。</w:t>
        <w:br/>
        <w:t xml:space="preserve">   （3）C13培养、引进高层次人才</w:t>
        <w:br/>
        <w:t>根据各项目承担单位报送的绩效自评表，2023年度培养、引进高层次人才59人次；大于目标值，故得4.05分,得分率82%。</w:t>
        <w:br/>
        <w:t>该指标满分为5分，根据评分标准得4.05分。</w:t>
        <w:br/>
        <w:t>（3）C14开展各类培训场次</w:t>
        <w:br/>
        <w:t>根据各项目承担单位报送的绩效自评表，该项目2023年度开展各类培训51场次；大于目标值，故得分3.65分，得分率73%。</w:t>
        <w:br/>
        <w:t>该指标满分为5分，根据评分标准得3.65分。</w:t>
        <w:br/>
        <w:t>2.质量指标</w:t>
        <w:br/>
        <w:t>（1）C21申请国家专利/著作权数量</w:t>
        <w:br/>
        <w:t>根据各项目承担单位报送的绩效自评表，2023年度申请国家专利/著作权数量34个，大于目标值，故得分5.22分，得分率87%。</w:t>
        <w:br/>
        <w:t>该指标满分为6分，根据评分标准得5.22分。</w:t>
        <w:br/>
        <w:t xml:space="preserve">   3.时效指标</w:t>
        <w:br/>
        <w:t>（1）C31项目验收通过率</w:t>
        <w:br/>
        <w:t>2023年度验收项目200%，故得分7分，得分率100%。</w:t>
        <w:br/>
        <w:t>该指标满分为4分，根据评分标准得4分。</w:t>
        <w:br/>
        <w:t>4.成本指标</w:t>
        <w:br/>
        <w:t>（1）C41自治区上合组织科技伙伴计划投入资金</w:t>
        <w:br/>
        <w:t>2023年共下达项目经费1000万元，故得5分,得分率100%。</w:t>
        <w:br/>
        <w:t>该指标满分为5分，根据评分标准得5分。</w:t>
        <w:br/>
        <w:t>（2）C42自治区科技援疆计划投入资金</w:t>
        <w:br/>
        <w:t>2023年组织共下达科技援疆项目经费2000万元，故得5分,得分率100%。</w:t>
        <w:br/>
        <w:t>该指标满分为5分，根据评分标准得5分。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（四）项目效益情况。</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（四）项目效益情况</w:t>
        <w:br/>
        <w:t>该项目效益评价指标权重分值共计10分，根据评分标准得分10分、失分0分、得分率100%，具体如下：</w:t>
        <w:br/>
        <w:t>一级指标	二级指标	三级指标	目标值	权重	得分</w:t>
        <w:br/>
        <w:t>效益指标	D2社会效益指标（10分）	带动社会投入与财政资金投入比例	=1:1	5	5</w:t>
        <w:br/>
        <w:t>	D2社会效益指标（10分）	促进援疆省市新技术、新资源、新成果在新疆转化应用和产业化发展	有效促进	5	5</w:t>
        <w:br/>
        <w:t>合计		10	10</w:t>
        <w:br/>
        <w:t>社会效益指标</w:t>
        <w:br/>
        <w:t>“社会效益指标”的绩效目标设置并未量化成客观可测的目标值。根据对2023年自治区区域协同创新专项项目实际情况综合评价，项目的实施积极引导社会资金投入科技领域，有效促进援疆省市新技术、新资源、新成果在新疆转化应用和产业化发展该指标满分为10分，得10分。</w:t>
        <w:br/>
        <w:t>该指标满分为10分，得10分。</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（五）满意度指标完成情况分析</w:t>
        <w:br/>
        <w:t>满意度≥90%，得10分；满意度80-89%，得8分；满意度60-79%，得5分；60分以下不得分。</w:t>
        <w:br/>
        <w:t></w:t>
        <w:br/>
        <w:t>一级指标	二级指标	三级指标	目标值	权重	得分</w:t>
        <w:br/>
        <w:t>E满意度指标（20分）	E1满意度指标</w:t>
        <w:br/>
        <w:t>（20分）	E11受扶持单位的满意度	&gt;=90%	5	5</w:t>
        <w:br/>
        <w:t>		E11受扶持单位科研人员的满意度	&gt;=90%	5	5</w:t>
        <w:br/>
        <w:t>合计		10	10</w:t>
        <w:br/>
        <w:t>根据对2023年自治区区域协同创新专项的满意度情况了解，项目申报主体及科研人员对项目主管单位的满意度≥90%，满意度较高。该指标满分为100分，得10分。</w:t>
        <w:br/>
        <w:t>该指标满分为10分，根据评分标准得10分。</w:t>
      </w:r>
      <w:bookmarkStart w:id="0" w:name="_GoBack"/>
      <w:bookmarkEnd w:id="0"/>
    </w:p>
    <w:p>
      <w:pPr>
        <w:spacing w:line="540" w:lineRule="exact"/>
        <w:ind w:firstLine="640"/>
        <w:rPr>
          <w:rStyle w:val="18"/>
          <w:rFonts w:ascii="黑体" w:eastAsia="黑体" w:hAnsi="黑体"/>
          <w:spacing w:val="-4"/>
          <w:sz w:val="32"/>
          <w:szCs w:val="32"/>
        </w:rPr>
      </w:pPr>
      <w:r>
        <w:rPr>
          <w:rStyle w:val="18"/>
          <w:rFonts w:ascii="黑体" w:eastAsia="黑体" w:hAnsi="黑体" w:hint="eastAsia"/>
          <w:b w:val="0"/>
          <w:spacing w:val="-4"/>
          <w:sz w:val="32"/>
          <w:szCs w:val="32"/>
          <w:lang w:eastAsia="zh-CN"/>
        </w:rPr>
        <w:t>五</w:t>
      </w:r>
      <w:r>
        <w:rPr>
          <w:rStyle w:val="18"/>
          <w:rFonts w:ascii="黑体" w:eastAsia="黑体" w:hAnsi="黑体" w:hint="eastAsia"/>
          <w:b w:val="0"/>
          <w:spacing w:val="-4"/>
          <w:sz w:val="32"/>
          <w:szCs w:val="32"/>
        </w:rPr>
        <w:t>、</w:t>
      </w:r>
      <w:r>
        <w:rPr>
          <w:rStyle w:val="18"/>
          <w:rFonts w:ascii="黑体" w:eastAsia="黑体" w:hAnsi="黑体"/>
          <w:b w:val="0"/>
          <w:spacing w:val="-4"/>
          <w:sz w:val="32"/>
          <w:szCs w:val="32"/>
        </w:rPr>
        <w:t>主要经验及做法、存在的问题及原因分析</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五、主要经验及做法、存在的问题及原因分析</w:t>
        <w:br/>
        <w:t>（一）项目整体实施进展情况、取得的成效</w:t>
        <w:br/>
        <w:t>通过项目实施，发挥“大科技”援疆格局的优势，切实加强区内外高校、科研院所、企业的交流合作，推广转化应用新技术数量达到61件，申请国家专利/著作权数量34件，培养、引进高层次人才数量达到59人次，开展各类培训51场次，持续提高科研人员的积极性和创造性，促进援疆省市新技术、新资源、新成果在新疆转化应用和产业化发展。</w:t>
        <w:br/>
        <w:t>（二）经验及做法</w:t>
        <w:br/>
        <w:t>在自治区区域协同创新专项项目承担单位的选择上要考虑充分，优先考虑在新疆本地注册时间较长研发主体为稳定的创新团队，具有较强研发实力，在创新投入、研发管理、市场推广、科研团队建设等方面具备良好基础和较强优势的高等院校、科研院所、企事业单位。坚持科技援疆项目申报必要原则，所涉及的技术难题，引进援助方与所申报项目内容密切相关的省部级以上最新科研成果或专利，解决单靠新疆方不能解决或难以解决的技术难题。聚焦新疆“八大产业集群”建设和地方特色产业，面向有关高校、科研院所、医疗卫生机构、企业等，分领域征集自治区区域协同创新专项－科技援疆计划支持方向，编制项目申报指南，确保项目符合自治区经济社会发展及科技创新需求。在项目立项前，组织开展现场勘验工作，确保申报单位具备承担科技计划项目的综合能力和相应条件，确保成果能够转移转化并开展示范应用。根据国家和自治区有关规定，后期将利用多种形式和方式继续开展交流合作；按照项目预定要求，积极进行项目中期检查，了解实施中存在的问题，指导协调加以解决，保障项目按照工作计划实施，按期进行项目验收工作。进一步加强项目的审核及管理，制定下一年的项目申报指南；加快完善科技计划管理信息系统，包括专家信息库，项目库以及信用库等。</w:t>
        <w:br/>
        <w:t>（三）存在的问题及原因分析</w:t>
        <w:br/>
        <w:t>一是对项目绩效自评表的研究分析不够，在跟踪查找项目执行中资金使用和项目实施的薄弱环节方面，动态掌握指导项目做的还不够。当前项目实施过程中，项目合同法律约束力不强，难以保证项目承担方严格履行合同规定。上述问题的存在，降低了项目实施效率，增加了科技经费的投入风险。二是项目沟通协调机制还需进一步深化，项目、资金、人才的倾斜支持政策还不够完善。</w:t>
      </w:r>
    </w:p>
    <w:p>
      <w:pPr>
        <w:ind w:firstLine="624" w:firstLineChars="200"/>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六</w:t>
      </w:r>
      <w:r>
        <w:rPr>
          <w:rStyle w:val="18"/>
          <w:rFonts w:ascii="黑体" w:eastAsia="黑体" w:hAnsi="黑体"/>
          <w:b w:val="0"/>
          <w:spacing w:val="-4"/>
          <w:sz w:val="32"/>
          <w:szCs w:val="32"/>
        </w:rPr>
        <w:t>、有关建议</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六、有关建议</w:t>
        <w:br/>
        <w:t>（一）科学编制预算，提高预算与目标匹配度</w:t>
        <w:br/>
        <w:t>科学的预算编制应该保证预算和目标在质和量上相匹配，即一方面预算应该根据目标来编制，保证每一个目标的实现均有相应的预算安排，另一方面应在合理测算工作量的基础上保证预算编制的准确性。 </w:t>
        <w:br/>
        <w:t>对此，建议预算单位会同财政部门共同梳理项目绩效目标，合理测算2023年项目工作量，科学编制预算。</w:t>
        <w:br/>
        <w:t>（二）制定明确的验收标准，加强绩效管理，完善年度绩效目标，保证项目实施效果。</w:t>
        <w:br/>
        <w:t>项目预算部门应根据项目的相关管理制度或预申报资金情况，制定明确的验收标准，同时，完善绩效管理系统，对于项目的实施，根据年度实施项目内容，设置合理的绩效指标，严格按照指向明确、具体细化和合理可行这三个标准，设定项目绩效目标，从而能更有利的推动项目实施效果</w:t>
      </w:r>
    </w:p>
    <w:p>
      <w:pPr>
        <w:spacing w:line="540" w:lineRule="exact"/>
        <w:ind w:firstLine="567"/>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七</w:t>
      </w:r>
      <w:r>
        <w:rPr>
          <w:rStyle w:val="18"/>
          <w:rFonts w:ascii="黑体" w:eastAsia="黑体" w:hAnsi="黑体" w:hint="eastAsia"/>
          <w:b w:val="0"/>
          <w:spacing w:val="-4"/>
          <w:sz w:val="32"/>
          <w:szCs w:val="32"/>
        </w:rPr>
        <w:t>、其他需要说明的问题</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sectPr>
      <w:footerReference r:id="rId3" w:type="default"/>
      <w:pgSz w:h="16838" w:w="11906"/>
      <w:pgMar w:bottom="1440" w:footer="992" w:gutter="0" w:header="851" w:left="1800" w:right="1558"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heme="minorHAnsi" w:cs="Times New Roman" w:eastAsiaTheme="minorEastAsia" w:hAnsiTheme="minorHAnsi"/>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semiHidden="0"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qFormat="1" w:semiHidden="0" w:uiPriority="99"/>
    <w:lsdException w:name="footer" w:qFormat="1" w:semiHidden="0" w:uiPriority="99"/>
    <w:lsdException w:name="index heading" w:uiPriority="99"/>
    <w:lsdException w:name="caption" w:uiPriority="35"/>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semiHidden="0" w:uiPriority="10" w:unhideWhenUsed="0"/>
    <w:lsdException w:name="Closing" w:uiPriority="99"/>
    <w:lsdException w:name="Signature" w:uiPriority="99"/>
    <w:lsdException w:name="Default Paragraph Font" w:qFormat="1"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semiHidden="0" w:uiPriority="11" w:unhideWhenUsed="0"/>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semiHidden="0" w:uiPriority="0" w:unhideWhenUsed="0"/>
    <w:lsdException w:name="Emphasis" w:qFormat="1" w:semiHidden="0" w:uiPriority="20" w:unhideWhenUsed="0"/>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qFormat="1" w:uiPriority="99"/>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semiHidden="0" w:uiPriority="99" w:unhideWhenUsed="0"/>
    <w:lsdException w:name="Table Subtle 2" w:uiPriority="99"/>
    <w:lsdException w:name="Table Web 1" w:uiPriority="99"/>
    <w:lsdException w:name="Table Web 2" w:semiHidden="0" w:uiPriority="99" w:unhideWhenUsed="0"/>
    <w:lsdException w:name="Table Web 3" w:semiHidden="0" w:uiPriority="99" w:unhideWhenUsed="0"/>
    <w:lsdException w:name="Balloon Text" w:qFormat="1" w:uiPriority="99"/>
    <w:lsdException w:name="Table Grid" w:semiHidden="0" w:uiPriority="59" w:unhideWhenUsed="0"/>
    <w:lsdException w:name="Table Theme" w:uiPriority="99"/>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pPr>
      <w:widowControl w:val="0"/>
      <w:jc w:val="both"/>
    </w:pPr>
    <w:rPr>
      <w:rFonts w:ascii="Times New Roman" w:cs="Times New Roman" w:eastAsia="宋体" w:hAnsi="Times New Roman"/>
      <w:kern w:val="2"/>
      <w:sz w:val="21"/>
      <w:szCs w:val="24"/>
      <w:lang w:bidi="ar-SA" w:eastAsia="zh-CN" w:val="en-US"/>
    </w:rPr>
  </w:style>
  <w:style w:styleId="2" w:type="paragraph">
    <w:name w:val="heading 1"/>
    <w:basedOn w:val="1"/>
    <w:next w:val="1"/>
    <w:link w:val="20"/>
    <w:qFormat/>
    <w:uiPriority w:val="9"/>
    <w:pPr>
      <w:keepNext/>
      <w:widowControl/>
      <w:spacing w:after="60" w:before="240"/>
      <w:jc w:val="left"/>
      <w:outlineLvl w:val="0"/>
    </w:pPr>
    <w:rPr>
      <w:rFonts w:asciiTheme="majorHAnsi" w:eastAsiaTheme="majorEastAsia" w:hAnsiTheme="majorHAnsi"/>
      <w:b/>
      <w:bCs/>
      <w:kern w:val="32"/>
      <w:sz w:val="32"/>
      <w:szCs w:val="32"/>
    </w:rPr>
  </w:style>
  <w:style w:styleId="3" w:type="paragraph">
    <w:name w:val="heading 2"/>
    <w:basedOn w:val="1"/>
    <w:next w:val="1"/>
    <w:link w:val="21"/>
    <w:semiHidden/>
    <w:unhideWhenUsed/>
    <w:qFormat/>
    <w:uiPriority w:val="9"/>
    <w:pPr>
      <w:keepNext/>
      <w:widowControl/>
      <w:spacing w:after="60" w:before="240"/>
      <w:jc w:val="left"/>
      <w:outlineLvl w:val="1"/>
    </w:pPr>
    <w:rPr>
      <w:rFonts w:asciiTheme="majorHAnsi" w:eastAsiaTheme="majorEastAsia" w:hAnsiTheme="majorHAnsi"/>
      <w:b/>
      <w:bCs/>
      <w:i/>
      <w:iCs/>
      <w:kern w:val="0"/>
      <w:sz w:val="28"/>
      <w:szCs w:val="28"/>
    </w:rPr>
  </w:style>
  <w:style w:styleId="4" w:type="paragraph">
    <w:name w:val="heading 3"/>
    <w:basedOn w:val="1"/>
    <w:next w:val="1"/>
    <w:link w:val="22"/>
    <w:semiHidden/>
    <w:unhideWhenUsed/>
    <w:qFormat/>
    <w:uiPriority w:val="9"/>
    <w:pPr>
      <w:keepNext/>
      <w:widowControl/>
      <w:spacing w:after="60" w:before="240"/>
      <w:jc w:val="left"/>
      <w:outlineLvl w:val="2"/>
    </w:pPr>
    <w:rPr>
      <w:rFonts w:asciiTheme="majorHAnsi" w:eastAsiaTheme="majorEastAsia" w:hAnsiTheme="majorHAnsi"/>
      <w:b/>
      <w:bCs/>
      <w:kern w:val="0"/>
      <w:sz w:val="26"/>
      <w:szCs w:val="26"/>
    </w:rPr>
  </w:style>
  <w:style w:styleId="5" w:type="paragraph">
    <w:name w:val="heading 4"/>
    <w:basedOn w:val="1"/>
    <w:next w:val="1"/>
    <w:link w:val="23"/>
    <w:unhideWhenUsed/>
    <w:qFormat/>
    <w:uiPriority w:val="9"/>
    <w:pPr>
      <w:keepNext/>
      <w:widowControl/>
      <w:spacing w:after="60" w:before="240"/>
      <w:jc w:val="left"/>
      <w:outlineLvl w:val="3"/>
    </w:pPr>
    <w:rPr>
      <w:rFonts w:asciiTheme="minorHAnsi" w:eastAsiaTheme="minorEastAsia" w:hAnsiTheme="minorHAnsi"/>
      <w:b/>
      <w:bCs/>
      <w:kern w:val="0"/>
      <w:sz w:val="28"/>
      <w:szCs w:val="28"/>
    </w:rPr>
  </w:style>
  <w:style w:styleId="6" w:type="paragraph">
    <w:name w:val="heading 5"/>
    <w:basedOn w:val="1"/>
    <w:next w:val="1"/>
    <w:link w:val="24"/>
    <w:semiHidden/>
    <w:unhideWhenUsed/>
    <w:qFormat/>
    <w:uiPriority w:val="9"/>
    <w:pPr>
      <w:widowControl/>
      <w:spacing w:after="60" w:before="240"/>
      <w:jc w:val="left"/>
      <w:outlineLvl w:val="4"/>
    </w:pPr>
    <w:rPr>
      <w:rFonts w:asciiTheme="minorHAnsi" w:eastAsiaTheme="minorEastAsia" w:hAnsiTheme="minorHAnsi"/>
      <w:b/>
      <w:bCs/>
      <w:i/>
      <w:iCs/>
      <w:kern w:val="0"/>
      <w:sz w:val="26"/>
      <w:szCs w:val="26"/>
    </w:rPr>
  </w:style>
  <w:style w:styleId="7" w:type="paragraph">
    <w:name w:val="heading 6"/>
    <w:basedOn w:val="1"/>
    <w:next w:val="1"/>
    <w:link w:val="25"/>
    <w:semiHidden/>
    <w:unhideWhenUsed/>
    <w:qFormat/>
    <w:uiPriority w:val="9"/>
    <w:pPr>
      <w:widowControl/>
      <w:spacing w:after="60" w:before="240"/>
      <w:jc w:val="left"/>
      <w:outlineLvl w:val="5"/>
    </w:pPr>
    <w:rPr>
      <w:rFonts w:asciiTheme="minorHAnsi" w:eastAsiaTheme="minorEastAsia" w:hAnsiTheme="minorHAnsi"/>
      <w:b/>
      <w:bCs/>
      <w:kern w:val="0"/>
      <w:sz w:val="22"/>
      <w:szCs w:val="22"/>
    </w:rPr>
  </w:style>
  <w:style w:styleId="8" w:type="paragraph">
    <w:name w:val="heading 7"/>
    <w:basedOn w:val="1"/>
    <w:next w:val="1"/>
    <w:link w:val="26"/>
    <w:semiHidden/>
    <w:unhideWhenUsed/>
    <w:qFormat/>
    <w:uiPriority w:val="9"/>
    <w:pPr>
      <w:widowControl/>
      <w:spacing w:after="60" w:before="240"/>
      <w:jc w:val="left"/>
      <w:outlineLvl w:val="6"/>
    </w:pPr>
    <w:rPr>
      <w:rFonts w:asciiTheme="minorHAnsi" w:eastAsiaTheme="minorEastAsia" w:hAnsiTheme="minorHAnsi"/>
      <w:kern w:val="0"/>
      <w:sz w:val="24"/>
    </w:rPr>
  </w:style>
  <w:style w:styleId="9" w:type="paragraph">
    <w:name w:val="heading 8"/>
    <w:basedOn w:val="1"/>
    <w:next w:val="1"/>
    <w:link w:val="27"/>
    <w:semiHidden/>
    <w:unhideWhenUsed/>
    <w:qFormat/>
    <w:uiPriority w:val="9"/>
    <w:pPr>
      <w:widowControl/>
      <w:spacing w:after="60" w:before="240"/>
      <w:jc w:val="left"/>
      <w:outlineLvl w:val="7"/>
    </w:pPr>
    <w:rPr>
      <w:rFonts w:asciiTheme="minorHAnsi" w:eastAsiaTheme="minorEastAsia" w:hAnsiTheme="minorHAnsi"/>
      <w:i/>
      <w:iCs/>
      <w:kern w:val="0"/>
      <w:sz w:val="24"/>
    </w:rPr>
  </w:style>
  <w:style w:styleId="10" w:type="paragraph">
    <w:name w:val="heading 9"/>
    <w:basedOn w:val="1"/>
    <w:next w:val="1"/>
    <w:link w:val="28"/>
    <w:semiHidden/>
    <w:unhideWhenUsed/>
    <w:qFormat/>
    <w:uiPriority w:val="9"/>
    <w:pPr>
      <w:widowControl/>
      <w:spacing w:after="60" w:before="240"/>
      <w:jc w:val="left"/>
      <w:outlineLvl w:val="8"/>
    </w:pPr>
    <w:rPr>
      <w:rFonts w:asciiTheme="majorHAnsi" w:eastAsiaTheme="majorEastAsia" w:hAnsiTheme="majorHAnsi"/>
      <w:kern w:val="0"/>
      <w:sz w:val="22"/>
      <w:szCs w:val="22"/>
    </w:rPr>
  </w:style>
  <w:style w:default="1" w:styleId="17" w:type="character">
    <w:name w:val="Default Paragraph Font"/>
    <w:semiHidden/>
    <w:unhideWhenUsed/>
    <w:qFormat/>
    <w:uiPriority w:val="1"/>
  </w:style>
  <w:style w:default="1" w:styleId="16" w:type="table">
    <w:name w:val="Normal Table"/>
    <w:semiHidden/>
    <w:unhideWhenUsed/>
    <w:qFormat/>
    <w:uiPriority w:val="99"/>
    <w:tblPr>
      <w:tblCellMar>
        <w:top w:type="dxa" w:w="0"/>
        <w:left w:type="dxa" w:w="108"/>
        <w:bottom w:type="dxa" w:w="0"/>
        <w:right w:type="dxa" w:w="108"/>
      </w:tblCellMar>
    </w:tblPr>
  </w:style>
  <w:style w:styleId="11" w:type="paragraph">
    <w:name w:val="Balloon Text"/>
    <w:basedOn w:val="1"/>
    <w:link w:val="45"/>
    <w:semiHidden/>
    <w:unhideWhenUsed/>
    <w:qFormat/>
    <w:uiPriority w:val="99"/>
    <w:rPr>
      <w:sz w:val="18"/>
      <w:szCs w:val="18"/>
    </w:rPr>
  </w:style>
  <w:style w:styleId="12" w:type="paragraph">
    <w:name w:val="footer"/>
    <w:basedOn w:val="1"/>
    <w:link w:val="44"/>
    <w:unhideWhenUsed/>
    <w:qFormat/>
    <w:uiPriority w:val="99"/>
    <w:pPr>
      <w:tabs>
        <w:tab w:pos="4153" w:val="center"/>
        <w:tab w:pos="8306" w:val="right"/>
      </w:tabs>
      <w:snapToGrid w:val="0"/>
      <w:jc w:val="left"/>
    </w:pPr>
    <w:rPr>
      <w:rFonts w:ascii="Calibri" w:hAnsi="Calibri"/>
      <w:sz w:val="18"/>
      <w:szCs w:val="18"/>
    </w:rPr>
  </w:style>
  <w:style w:styleId="13" w:type="paragraph">
    <w:name w:val="header"/>
    <w:basedOn w:val="1"/>
    <w:link w:val="43"/>
    <w:unhideWhenUsed/>
    <w:qFormat/>
    <w:uiPriority w:val="99"/>
    <w:pPr>
      <w:pBdr>
        <w:bottom w:color="auto" w:space="1" w:sz="6" w:val="single"/>
      </w:pBdr>
      <w:tabs>
        <w:tab w:pos="4153" w:val="center"/>
        <w:tab w:pos="8306" w:val="right"/>
      </w:tabs>
      <w:snapToGrid w:val="0"/>
      <w:jc w:val="center"/>
    </w:pPr>
    <w:rPr>
      <w:rFonts w:ascii="Calibri" w:hAnsi="Calibri"/>
      <w:sz w:val="18"/>
      <w:szCs w:val="18"/>
    </w:rPr>
  </w:style>
  <w:style w:styleId="14" w:type="paragraph">
    <w:name w:val="Subtitle"/>
    <w:basedOn w:val="1"/>
    <w:next w:val="1"/>
    <w:link w:val="30"/>
    <w:qFormat/>
    <w:uiPriority w:val="11"/>
    <w:pPr>
      <w:widowControl/>
      <w:spacing w:after="60"/>
      <w:jc w:val="center"/>
      <w:outlineLvl w:val="1"/>
    </w:pPr>
    <w:rPr>
      <w:rFonts w:asciiTheme="majorHAnsi" w:eastAsiaTheme="majorEastAsia" w:hAnsiTheme="majorHAnsi"/>
      <w:kern w:val="0"/>
      <w:sz w:val="24"/>
    </w:rPr>
  </w:style>
  <w:style w:styleId="15" w:type="paragraph">
    <w:name w:val="Title"/>
    <w:basedOn w:val="1"/>
    <w:next w:val="1"/>
    <w:link w:val="29"/>
    <w:qFormat/>
    <w:uiPriority w:val="10"/>
    <w:pPr>
      <w:widowControl/>
      <w:spacing w:after="60" w:before="240"/>
      <w:jc w:val="center"/>
      <w:outlineLvl w:val="0"/>
    </w:pPr>
    <w:rPr>
      <w:rFonts w:asciiTheme="majorHAnsi" w:eastAsiaTheme="majorEastAsia" w:hAnsiTheme="majorHAnsi"/>
      <w:b/>
      <w:bCs/>
      <w:kern w:val="28"/>
      <w:sz w:val="32"/>
      <w:szCs w:val="32"/>
    </w:rPr>
  </w:style>
  <w:style w:styleId="18" w:type="character">
    <w:name w:val="Strong"/>
    <w:basedOn w:val="17"/>
    <w:qFormat/>
    <w:uiPriority w:val="0"/>
    <w:rPr>
      <w:b/>
      <w:bCs/>
    </w:rPr>
  </w:style>
  <w:style w:styleId="19" w:type="character">
    <w:name w:val="Emphasis"/>
    <w:basedOn w:val="17"/>
    <w:qFormat/>
    <w:uiPriority w:val="20"/>
    <w:rPr>
      <w:rFonts w:asciiTheme="minorHAnsi" w:hAnsiTheme="minorHAnsi"/>
      <w:b/>
      <w:i/>
      <w:iCs/>
    </w:rPr>
  </w:style>
  <w:style w:customStyle="1" w:styleId="20" w:type="character">
    <w:name w:val="标题 1 字符"/>
    <w:basedOn w:val="17"/>
    <w:link w:val="2"/>
    <w:qFormat/>
    <w:uiPriority w:val="9"/>
    <w:rPr>
      <w:rFonts w:asciiTheme="majorHAnsi" w:eastAsiaTheme="majorEastAsia" w:hAnsiTheme="majorHAnsi"/>
      <w:b/>
      <w:bCs/>
      <w:kern w:val="32"/>
      <w:sz w:val="32"/>
      <w:szCs w:val="32"/>
    </w:rPr>
  </w:style>
  <w:style w:customStyle="1" w:styleId="21" w:type="character">
    <w:name w:val="标题 2 字符"/>
    <w:basedOn w:val="17"/>
    <w:link w:val="3"/>
    <w:semiHidden/>
    <w:qFormat/>
    <w:uiPriority w:val="9"/>
    <w:rPr>
      <w:rFonts w:asciiTheme="majorHAnsi" w:eastAsiaTheme="majorEastAsia" w:hAnsiTheme="majorHAnsi"/>
      <w:b/>
      <w:bCs/>
      <w:i/>
      <w:iCs/>
      <w:sz w:val="28"/>
      <w:szCs w:val="28"/>
    </w:rPr>
  </w:style>
  <w:style w:customStyle="1" w:styleId="22" w:type="character">
    <w:name w:val="标题 3 字符"/>
    <w:basedOn w:val="17"/>
    <w:link w:val="4"/>
    <w:semiHidden/>
    <w:qFormat/>
    <w:uiPriority w:val="9"/>
    <w:rPr>
      <w:rFonts w:asciiTheme="majorHAnsi" w:eastAsiaTheme="majorEastAsia" w:hAnsiTheme="majorHAnsi"/>
      <w:b/>
      <w:bCs/>
      <w:sz w:val="26"/>
      <w:szCs w:val="26"/>
    </w:rPr>
  </w:style>
  <w:style w:customStyle="1" w:styleId="23" w:type="character">
    <w:name w:val="标题 4 字符"/>
    <w:basedOn w:val="17"/>
    <w:link w:val="5"/>
    <w:qFormat/>
    <w:uiPriority w:val="9"/>
    <w:rPr>
      <w:b/>
      <w:bCs/>
      <w:sz w:val="28"/>
      <w:szCs w:val="28"/>
    </w:rPr>
  </w:style>
  <w:style w:customStyle="1" w:styleId="24" w:type="character">
    <w:name w:val="标题 5 字符"/>
    <w:basedOn w:val="17"/>
    <w:link w:val="6"/>
    <w:semiHidden/>
    <w:qFormat/>
    <w:uiPriority w:val="9"/>
    <w:rPr>
      <w:b/>
      <w:bCs/>
      <w:i/>
      <w:iCs/>
      <w:sz w:val="26"/>
      <w:szCs w:val="26"/>
    </w:rPr>
  </w:style>
  <w:style w:customStyle="1" w:styleId="25" w:type="character">
    <w:name w:val="标题 6 字符"/>
    <w:basedOn w:val="17"/>
    <w:link w:val="7"/>
    <w:semiHidden/>
    <w:qFormat/>
    <w:uiPriority w:val="9"/>
    <w:rPr>
      <w:b/>
      <w:bCs/>
    </w:rPr>
  </w:style>
  <w:style w:customStyle="1" w:styleId="26" w:type="character">
    <w:name w:val="标题 7 字符"/>
    <w:basedOn w:val="17"/>
    <w:link w:val="8"/>
    <w:semiHidden/>
    <w:qFormat/>
    <w:uiPriority w:val="9"/>
    <w:rPr>
      <w:sz w:val="24"/>
      <w:szCs w:val="24"/>
    </w:rPr>
  </w:style>
  <w:style w:customStyle="1" w:styleId="27" w:type="character">
    <w:name w:val="标题 8 字符"/>
    <w:basedOn w:val="17"/>
    <w:link w:val="9"/>
    <w:semiHidden/>
    <w:qFormat/>
    <w:uiPriority w:val="9"/>
    <w:rPr>
      <w:i/>
      <w:iCs/>
      <w:sz w:val="24"/>
      <w:szCs w:val="24"/>
    </w:rPr>
  </w:style>
  <w:style w:customStyle="1" w:styleId="28" w:type="character">
    <w:name w:val="标题 9 字符"/>
    <w:basedOn w:val="17"/>
    <w:link w:val="10"/>
    <w:semiHidden/>
    <w:qFormat/>
    <w:uiPriority w:val="9"/>
    <w:rPr>
      <w:rFonts w:asciiTheme="majorHAnsi" w:eastAsiaTheme="majorEastAsia" w:hAnsiTheme="majorHAnsi"/>
    </w:rPr>
  </w:style>
  <w:style w:customStyle="1" w:styleId="29" w:type="character">
    <w:name w:val="标题 字符"/>
    <w:basedOn w:val="17"/>
    <w:link w:val="15"/>
    <w:qFormat/>
    <w:uiPriority w:val="10"/>
    <w:rPr>
      <w:rFonts w:asciiTheme="majorHAnsi" w:eastAsiaTheme="majorEastAsia" w:hAnsiTheme="majorHAnsi"/>
      <w:b/>
      <w:bCs/>
      <w:kern w:val="28"/>
      <w:sz w:val="32"/>
      <w:szCs w:val="32"/>
    </w:rPr>
  </w:style>
  <w:style w:customStyle="1" w:styleId="30" w:type="character">
    <w:name w:val="副标题 字符"/>
    <w:basedOn w:val="17"/>
    <w:link w:val="14"/>
    <w:qFormat/>
    <w:uiPriority w:val="11"/>
    <w:rPr>
      <w:rFonts w:asciiTheme="majorHAnsi" w:eastAsiaTheme="majorEastAsia" w:hAnsiTheme="majorHAnsi"/>
      <w:sz w:val="24"/>
      <w:szCs w:val="24"/>
    </w:rPr>
  </w:style>
  <w:style w:styleId="31" w:type="paragraph">
    <w:name w:val="No Spacing"/>
    <w:basedOn w:val="1"/>
    <w:qFormat/>
    <w:uiPriority w:val="1"/>
    <w:pPr>
      <w:widowControl/>
      <w:jc w:val="left"/>
    </w:pPr>
    <w:rPr>
      <w:rFonts w:asciiTheme="minorHAnsi" w:eastAsiaTheme="minorEastAsia" w:hAnsiTheme="minorHAnsi"/>
      <w:kern w:val="0"/>
      <w:sz w:val="24"/>
      <w:szCs w:val="32"/>
      <w:lang w:bidi="en-US" w:eastAsia="en-US"/>
    </w:rPr>
  </w:style>
  <w:style w:styleId="32" w:type="paragraph">
    <w:name w:val="List Paragraph"/>
    <w:basedOn w:val="1"/>
    <w:qFormat/>
    <w:uiPriority w:val="34"/>
    <w:pPr>
      <w:widowControl/>
      <w:ind w:left="720"/>
      <w:contextualSpacing/>
      <w:jc w:val="left"/>
    </w:pPr>
    <w:rPr>
      <w:rFonts w:asciiTheme="minorHAnsi" w:eastAsiaTheme="minorEastAsia" w:hAnsiTheme="minorHAnsi"/>
      <w:kern w:val="0"/>
      <w:sz w:val="24"/>
      <w:lang w:bidi="en-US" w:eastAsia="en-US"/>
    </w:rPr>
  </w:style>
  <w:style w:styleId="33" w:type="paragraph">
    <w:name w:val="Quote"/>
    <w:basedOn w:val="1"/>
    <w:next w:val="1"/>
    <w:link w:val="34"/>
    <w:qFormat/>
    <w:uiPriority w:val="29"/>
    <w:pPr>
      <w:widowControl/>
      <w:jc w:val="left"/>
    </w:pPr>
    <w:rPr>
      <w:rFonts w:asciiTheme="minorHAnsi" w:eastAsiaTheme="minorEastAsia" w:hAnsiTheme="minorHAnsi"/>
      <w:i/>
      <w:kern w:val="0"/>
      <w:sz w:val="24"/>
    </w:rPr>
  </w:style>
  <w:style w:customStyle="1" w:styleId="34" w:type="character">
    <w:name w:val="引用 字符"/>
    <w:basedOn w:val="17"/>
    <w:link w:val="33"/>
    <w:qFormat/>
    <w:uiPriority w:val="29"/>
    <w:rPr>
      <w:i/>
      <w:sz w:val="24"/>
      <w:szCs w:val="24"/>
    </w:rPr>
  </w:style>
  <w:style w:styleId="35" w:type="paragraph">
    <w:name w:val="Intense Quote"/>
    <w:basedOn w:val="1"/>
    <w:next w:val="1"/>
    <w:link w:val="36"/>
    <w:qFormat/>
    <w:uiPriority w:val="30"/>
    <w:pPr>
      <w:widowControl/>
      <w:ind w:left="720" w:right="720"/>
      <w:jc w:val="left"/>
    </w:pPr>
    <w:rPr>
      <w:rFonts w:asciiTheme="minorHAnsi" w:eastAsiaTheme="minorEastAsia" w:hAnsiTheme="minorHAnsi"/>
      <w:b/>
      <w:i/>
      <w:kern w:val="0"/>
      <w:sz w:val="24"/>
      <w:szCs w:val="22"/>
    </w:rPr>
  </w:style>
  <w:style w:customStyle="1" w:styleId="36" w:type="character">
    <w:name w:val="明显引用 字符"/>
    <w:basedOn w:val="17"/>
    <w:link w:val="35"/>
    <w:qFormat/>
    <w:uiPriority w:val="30"/>
    <w:rPr>
      <w:b/>
      <w:i/>
      <w:sz w:val="24"/>
    </w:rPr>
  </w:style>
  <w:style w:customStyle="1" w:styleId="37" w:type="character">
    <w:name w:val="不明显强调1"/>
    <w:qFormat/>
    <w:uiPriority w:val="19"/>
    <w:rPr>
      <w:i/>
      <w:color w:themeColor="text1" w:themeTint="A6" w:val="595959"/>
      <w14:textFill>
        <w14:solidFill>
          <w14:schemeClr w14:val="tx1">
            <w14:lumMod w14:val="65000"/>
            <w14:lumOff w14:val="35000"/>
          </w14:schemeClr>
        </w14:solidFill>
      </w14:textFill>
    </w:rPr>
  </w:style>
  <w:style w:customStyle="1" w:styleId="38" w:type="character">
    <w:name w:val="明显强调1"/>
    <w:basedOn w:val="17"/>
    <w:qFormat/>
    <w:uiPriority w:val="21"/>
    <w:rPr>
      <w:b/>
      <w:i/>
      <w:sz w:val="24"/>
      <w:szCs w:val="24"/>
      <w:u w:val="single"/>
    </w:rPr>
  </w:style>
  <w:style w:customStyle="1" w:styleId="39" w:type="character">
    <w:name w:val="不明显参考1"/>
    <w:basedOn w:val="17"/>
    <w:qFormat/>
    <w:uiPriority w:val="31"/>
    <w:rPr>
      <w:sz w:val="24"/>
      <w:szCs w:val="24"/>
      <w:u w:val="single"/>
    </w:rPr>
  </w:style>
  <w:style w:customStyle="1" w:styleId="40" w:type="character">
    <w:name w:val="明显参考1"/>
    <w:basedOn w:val="17"/>
    <w:qFormat/>
    <w:uiPriority w:val="32"/>
    <w:rPr>
      <w:b/>
      <w:sz w:val="24"/>
      <w:u w:val="single"/>
    </w:rPr>
  </w:style>
  <w:style w:customStyle="1" w:styleId="41" w:type="character">
    <w:name w:val="书籍标题1"/>
    <w:basedOn w:val="17"/>
    <w:qFormat/>
    <w:uiPriority w:val="33"/>
    <w:rPr>
      <w:rFonts w:asciiTheme="majorHAnsi" w:eastAsiaTheme="majorEastAsia" w:hAnsiTheme="majorHAnsi"/>
      <w:b/>
      <w:i/>
      <w:sz w:val="24"/>
      <w:szCs w:val="24"/>
    </w:rPr>
  </w:style>
  <w:style w:customStyle="1" w:styleId="42" w:type="paragraph">
    <w:name w:val="TOC 标题1"/>
    <w:basedOn w:val="2"/>
    <w:next w:val="1"/>
    <w:semiHidden/>
    <w:unhideWhenUsed/>
    <w:qFormat/>
    <w:uiPriority w:val="39"/>
    <w:pPr>
      <w:outlineLvl w:val="9"/>
    </w:pPr>
    <w:rPr>
      <w:lang w:bidi="en-US" w:eastAsia="en-US"/>
    </w:rPr>
  </w:style>
  <w:style w:customStyle="1" w:styleId="43" w:type="character">
    <w:name w:val="页眉 字符"/>
    <w:basedOn w:val="17"/>
    <w:link w:val="13"/>
    <w:qFormat/>
    <w:uiPriority w:val="99"/>
    <w:rPr>
      <w:rFonts w:ascii="Calibri" w:eastAsia="宋体" w:hAnsi="Calibri"/>
      <w:kern w:val="2"/>
      <w:sz w:val="18"/>
      <w:szCs w:val="18"/>
    </w:rPr>
  </w:style>
  <w:style w:customStyle="1" w:styleId="44" w:type="character">
    <w:name w:val="页脚 字符"/>
    <w:basedOn w:val="17"/>
    <w:link w:val="12"/>
    <w:qFormat/>
    <w:uiPriority w:val="99"/>
    <w:rPr>
      <w:rFonts w:ascii="Calibri" w:eastAsia="宋体" w:hAnsi="Calibri"/>
      <w:kern w:val="2"/>
      <w:sz w:val="18"/>
      <w:szCs w:val="18"/>
    </w:rPr>
  </w:style>
  <w:style w:customStyle="1" w:styleId="45" w:type="character">
    <w:name w:val="批注框文本 字符"/>
    <w:basedOn w:val="17"/>
    <w:link w:val="11"/>
    <w:semiHidden/>
    <w:qFormat/>
    <w:uiPriority w:val="99"/>
    <w:rPr>
      <w:rFonts w:ascii="Times New Roman" w:eastAsia="宋体" w:hAnsi="Times New Roman"/>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2024-07-23T09:36:28Z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2052-11.8.2.10972</vt:lpwstr>
  </property>
  <property fmtid="{D5CDD505-2E9C-101B-9397-08002B2CF9AE}" name="ICV" pid="3">
    <vt:lpwstr>160D1BA1944349B08C48068401F6E698</vt:lpwstr>
  </property>
</Properties>
</file>