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body>
    <w:p>
      <w:pPr>
        <w:spacing w:line="540" w:lineRule="exact"/>
        <w:jc w:val="left"/>
        <w:rPr>
          <w:rFonts w:ascii="仿宋" w:cs="宋体" w:eastAsia="仿宋" w:hAnsi="仿宋"/>
          <w:kern w:val="0"/>
          <w:sz w:val="32"/>
          <w:szCs w:val="32"/>
        </w:rPr>
      </w:pPr>
      <w:r>
        <w:rPr>
          <w:rFonts w:ascii="仿宋" w:cs="宋体" w:eastAsia="仿宋" w:hAnsi="仿宋" w:hint="eastAsia"/>
          <w:kern w:val="0"/>
          <w:sz w:val="32"/>
          <w:szCs w:val="32"/>
        </w:rPr>
        <w:t>附件2：</w:t>
      </w: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华文中宋" w:cs="宋体" w:eastAsia="华文中宋" w:hAnsi="华文中宋"/>
          <w:b/>
          <w:kern w:val="0"/>
          <w:sz w:val="52"/>
          <w:szCs w:val="52"/>
        </w:rPr>
      </w:pPr>
    </w:p>
    <w:p>
      <w:pPr>
        <w:spacing w:line="540" w:lineRule="exact"/>
        <w:jc w:val="center"/>
        <w:rPr>
          <w:rFonts w:ascii="方正小标宋_GBK" w:cs="宋体" w:eastAsia="方正小标宋_GBK" w:hAnsi="华文中宋"/>
          <w:b/>
          <w:kern w:val="0"/>
          <w:sz w:val="48"/>
          <w:szCs w:val="48"/>
        </w:rPr>
      </w:pPr>
      <w:r>
        <w:rPr>
          <w:rFonts w:ascii="方正小标宋_GBK" w:cs="宋体" w:eastAsia="方正小标宋_GBK" w:hAnsi="华文中宋" w:hint="eastAsia"/>
          <w:b/>
          <w:kern w:val="0"/>
          <w:sz w:val="48"/>
          <w:szCs w:val="48"/>
        </w:rPr>
        <w:t>自治区财政项目支出绩效自评报告</w:t>
      </w:r>
    </w:p>
    <w:p>
      <w:pPr>
        <w:spacing w:line="540" w:lineRule="exact"/>
        <w:jc w:val="center"/>
        <w:rPr>
          <w:rFonts w:ascii="华文中宋" w:cs="宋体" w:eastAsia="华文中宋" w:hAnsi="华文中宋"/>
          <w:b/>
          <w:kern w:val="0"/>
          <w:sz w:val="52"/>
          <w:szCs w:val="52"/>
        </w:rPr>
      </w:pPr>
    </w:p>
    <w:p>
      <w:pPr>
        <w:spacing w:line="540" w:lineRule="exact"/>
        <w:jc w:val="center"/>
        <w:rPr>
          <w:rFonts w:cs="宋体" w:eastAsia="仿宋_GB2312" w:hAnsi="宋体"/>
          <w:kern w:val="0"/>
          <w:sz w:val="36"/>
          <w:szCs w:val="36"/>
        </w:rPr>
      </w:pPr>
      <w:r>
        <w:rPr>
          <w:rFonts w:cs="宋体" w:eastAsia="仿宋_GB2312" w:hAnsi="宋体" w:hint="eastAsia"/>
          <w:kern w:val="0"/>
          <w:sz w:val="36"/>
          <w:szCs w:val="36"/>
        </w:rPr>
        <w:t xml:space="preserve">（   </w:t>
      </w:r>
      <w:r>
        <w:rPr>
          <w:rStyle w:val="18"/>
          <w:rFonts w:ascii="楷体" w:eastAsia="楷体" w:hAnsi="楷体" w:hint="eastAsia"/>
          <w:spacing w:val="-4"/>
          <w:sz w:val="32"/>
          <w:szCs w:val="32"/>
        </w:rPr>
        <w:t>2023</w:t>
      </w:r>
      <w:r>
        <w:rPr>
          <w:rFonts w:cs="宋体" w:eastAsia="仿宋_GB2312" w:hAnsi="宋体" w:hint="eastAsia"/>
          <w:kern w:val="0"/>
          <w:sz w:val="36"/>
          <w:szCs w:val="36"/>
        </w:rPr>
        <w:t xml:space="preserve">  年度）</w:t>
      </w: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jc w:val="center"/>
        <w:rPr>
          <w:rFonts w:ascii="方正小标宋_GBK" w:cs="宋体" w:eastAsia="方正小标宋_GBK" w:hAnsi="宋体"/>
          <w:kern w:val="0"/>
          <w:sz w:val="36"/>
          <w:szCs w:val="36"/>
        </w:rPr>
      </w:pPr>
      <w:r>
        <w:rPr>
          <w:rFonts w:ascii="方正小标宋_GBK" w:cs="宋体" w:eastAsia="方正小标宋_GBK" w:hAnsi="宋体" w:hint="eastAsia"/>
          <w:kern w:val="0"/>
          <w:sz w:val="36"/>
          <w:szCs w:val="36"/>
        </w:rPr>
        <w:t>参考模板</w:t>
      </w: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jc w:val="center"/>
        <w:rPr>
          <w:rFonts w:cs="宋体" w:eastAsia="仿宋_GB2312" w:hAnsi="宋体"/>
          <w:kern w:val="0"/>
          <w:sz w:val="30"/>
          <w:szCs w:val="30"/>
        </w:rPr>
      </w:pPr>
    </w:p>
    <w:p>
      <w:pPr>
        <w:spacing w:line="540" w:lineRule="exact"/>
        <w:rPr>
          <w:rFonts w:cs="宋体" w:eastAsia="仿宋_GB2312" w:hAnsi="宋体"/>
          <w:kern w:val="0"/>
          <w:sz w:val="30"/>
          <w:szCs w:val="30"/>
        </w:rPr>
      </w:pPr>
    </w:p>
    <w:p>
      <w:pPr>
        <w:spacing w:line="700" w:lineRule="exact"/>
        <w:jc w:val="left"/>
        <w:rPr>
          <w:rFonts w:cs="宋体" w:eastAsia="仿宋_GB2312" w:hAnsi="宋体"/>
          <w:kern w:val="0"/>
          <w:sz w:val="36"/>
          <w:szCs w:val="36"/>
        </w:rPr>
      </w:pPr>
      <w:r>
        <w:rPr>
          <w:rFonts w:cs="宋体" w:eastAsia="仿宋_GB2312" w:hAnsi="宋体" w:hint="eastAsia"/>
          <w:kern w:val="0"/>
          <w:sz w:val="36"/>
          <w:szCs w:val="36"/>
        </w:rPr>
        <w:t xml:space="preserve">     </w:t>
      </w:r>
    </w:p>
    <w:p>
      <w:pPr>
        <w:spacing w:line="700" w:lineRule="exact"/>
        <w:ind w:firstLine="900" w:firstLineChars="250"/>
        <w:jc w:val="left"/>
        <w:rPr>
          <w:rFonts w:cs="宋体" w:eastAsia="仿宋_GB2312" w:hAnsi="宋体"/>
          <w:kern w:val="0"/>
          <w:sz w:val="36"/>
          <w:szCs w:val="36"/>
        </w:rPr>
      </w:pPr>
      <w:r>
        <w:rPr>
          <w:rFonts w:cs="宋体" w:eastAsia="仿宋_GB2312" w:hAnsi="宋体" w:hint="eastAsia"/>
          <w:kern w:val="0"/>
          <w:sz w:val="36"/>
          <w:szCs w:val="36"/>
        </w:rPr>
        <w:t>项目名称：</w:t>
      </w:r>
      <w:r>
        <w:rPr>
          <w:rStyle w:val="18"/>
          <w:rFonts w:ascii="楷体" w:eastAsia="楷体" w:hAnsi="楷体" w:hint="eastAsia"/>
          <w:spacing w:val="-4"/>
          <w:sz w:val="32"/>
          <w:szCs w:val="32"/>
        </w:rPr>
        <w:t>2023年自治区创新环境（人才、基地）建设专项</w:t>
      </w:r>
    </w:p>
    <w:p>
      <w:pPr>
        <w:spacing w:line="540" w:lineRule="exact"/>
        <w:ind w:firstLine="567"/>
        <w:rPr>
          <w:rFonts w:ascii="楷体" w:eastAsia="楷体" w:hAnsi="楷体"/>
          <w:b/>
          <w:bCs/>
          <w:spacing w:val="-4"/>
          <w:sz w:val="32"/>
          <w:szCs w:val="32"/>
        </w:rPr>
      </w:pPr>
      <w:r>
        <w:rPr>
          <w:rFonts w:cs="宋体" w:eastAsia="仿宋_GB2312" w:hAnsi="宋体" w:hint="eastAsia"/>
          <w:kern w:val="0"/>
          <w:sz w:val="36"/>
          <w:szCs w:val="36"/>
        </w:rPr>
        <w:t xml:space="preserve">  实施单位（公章）：</w:t>
      </w:r>
      <w:r>
        <w:rPr>
          <w:rStyle w:val="18"/>
          <w:rFonts w:ascii="楷体" w:eastAsia="楷体" w:hAnsi="楷体" w:hint="eastAsia"/>
          <w:spacing w:val="-4"/>
          <w:sz w:val="28"/>
          <w:szCs w:val="28"/>
        </w:rPr>
        <w:t>自治区科学技术厅资源配置与管理处</w:t>
      </w:r>
    </w:p>
    <w:p>
      <w:pPr>
        <w:spacing w:line="540" w:lineRule="exact"/>
        <w:ind w:firstLine="900" w:firstLineChars="250"/>
        <w:rPr>
          <w:rFonts w:ascii="楷体" w:eastAsia="楷体" w:hAnsi="楷体"/>
          <w:b/>
          <w:bCs/>
          <w:spacing w:val="-4"/>
          <w:sz w:val="28"/>
          <w:szCs w:val="28"/>
        </w:rPr>
      </w:pPr>
      <w:r>
        <w:rPr>
          <w:rFonts w:cs="宋体" w:eastAsia="仿宋_GB2312" w:hAnsi="宋体" w:hint="eastAsia"/>
          <w:kern w:val="0"/>
          <w:sz w:val="36"/>
          <w:szCs w:val="36"/>
        </w:rPr>
        <w:t>主管部门（公章）：</w:t>
      </w:r>
      <w:r>
        <w:rPr>
          <w:rStyle w:val="18"/>
          <w:rFonts w:ascii="楷体" w:eastAsia="楷体" w:hAnsi="楷体" w:hint="eastAsia"/>
          <w:spacing w:val="-4"/>
          <w:sz w:val="28"/>
          <w:szCs w:val="28"/>
        </w:rPr>
        <w:t>自治区科学技术厅资源配置与管理处</w:t>
      </w:r>
    </w:p>
    <w:p>
      <w:pPr>
        <w:spacing w:line="540" w:lineRule="exact"/>
        <w:ind w:firstLine="900" w:firstLineChars="250"/>
        <w:rPr>
          <w:rFonts w:ascii="楷体" w:eastAsia="楷体" w:hAnsi="楷体"/>
          <w:b/>
          <w:bCs/>
          <w:spacing w:val="-4"/>
          <w:sz w:val="32"/>
          <w:szCs w:val="32"/>
        </w:rPr>
      </w:pPr>
      <w:r>
        <w:rPr>
          <w:rFonts w:cs="宋体" w:eastAsia="仿宋_GB2312" w:hAnsi="宋体" w:hint="eastAsia"/>
          <w:kern w:val="0"/>
          <w:sz w:val="36"/>
          <w:szCs w:val="36"/>
        </w:rPr>
        <w:t>项目负责人（签章）：</w:t>
      </w:r>
      <w:r>
        <w:rPr>
          <w:rStyle w:val="18"/>
          <w:rFonts w:ascii="楷体" w:eastAsia="楷体" w:hAnsi="楷体" w:hint="eastAsia"/>
          <w:spacing w:val="-4"/>
          <w:sz w:val="32"/>
          <w:szCs w:val="32"/>
        </w:rPr>
        <w:t>沙巴艾提·哈萨诺夫</w:t>
      </w:r>
    </w:p>
    <w:p>
      <w:pPr>
        <w:spacing w:line="540" w:lineRule="exact"/>
        <w:ind w:firstLine="567" w:left="273"/>
        <w:rPr>
          <w:rStyle w:val="18"/>
          <w:rFonts w:ascii="楷体" w:eastAsia="楷体" w:hAnsi="楷体"/>
          <w:spacing w:val="-4"/>
          <w:sz w:val="32"/>
          <w:szCs w:val="32"/>
        </w:rPr>
      </w:pPr>
      <w:r>
        <w:rPr>
          <w:rFonts w:cs="宋体" w:eastAsia="仿宋_GB2312" w:hAnsi="宋体" w:hint="eastAsia"/>
          <w:kern w:val="0"/>
          <w:sz w:val="36"/>
          <w:szCs w:val="36"/>
        </w:rPr>
        <w:t>填报时间：</w:t>
      </w:r>
      <w:r>
        <w:rPr>
          <w:rStyle w:val="18"/>
          <w:rFonts w:ascii="楷体" w:eastAsia="楷体" w:hAnsi="楷体" w:hint="eastAsia"/>
          <w:spacing w:val="-4"/>
          <w:sz w:val="32"/>
          <w:szCs w:val="32"/>
        </w:rPr>
        <w:t>2024年05月11日</w:t>
      </w:r>
    </w:p>
    <w:p>
      <w:pPr>
        <w:spacing w:line="700" w:lineRule="exact"/>
        <w:ind w:firstLine="708" w:firstLineChars="236"/>
        <w:jc w:val="left"/>
        <w:rPr>
          <w:rFonts w:cs="宋体" w:eastAsia="仿宋_GB2312" w:hAnsi="宋体"/>
          <w:kern w:val="0"/>
          <w:sz w:val="30"/>
          <w:szCs w:val="30"/>
        </w:rPr>
      </w:pPr>
    </w:p>
    <w:p>
      <w:pPr>
        <w:spacing w:line="540" w:lineRule="exact"/>
        <w:rPr>
          <w:rStyle w:val="18"/>
          <w:rFonts w:ascii="黑体" w:eastAsia="黑体" w:hAnsi="黑体"/>
          <w:b w:val="0"/>
          <w:spacing w:val="-4"/>
          <w:sz w:val="32"/>
          <w:szCs w:val="32"/>
        </w:rPr>
      </w:pPr>
    </w:p>
    <w:p>
      <w:pPr>
        <w:spacing w:line="540" w:lineRule="exact"/>
        <w:ind w:firstLine="640"/>
        <w:rPr>
          <w:rStyle w:val="18"/>
          <w:rFonts w:ascii="黑体" w:eastAsia="黑体" w:hAnsi="黑体"/>
          <w:b w:val="0"/>
          <w:spacing w:val="-4"/>
          <w:sz w:val="32"/>
          <w:szCs w:val="32"/>
        </w:rPr>
      </w:pPr>
      <w:r>
        <w:rPr>
          <w:rStyle w:val="18"/>
          <w:rFonts w:ascii="黑体" w:eastAsia="黑体" w:hAnsi="黑体" w:hint="eastAsia"/>
          <w:b w:val="0"/>
          <w:spacing w:val="-4"/>
          <w:sz w:val="32"/>
          <w:szCs w:val="32"/>
        </w:rPr>
        <w:t>一、基本情况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（一）项目概况。包括项目背景、主要内容及实施情况、资金投入和使用情况等。</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（一）项目概况</w:t>
        <w:br/>
        <w:t>1.项目背景</w:t>
        <w:br/>
        <w:t>为落实《自治区人民政府办公厅关于发展众创空间推进大众创新创业的实施意见》（新政办发〔2015〕115号）《新疆维吾尔自治区农业科技园区管理办法》（新科规〔2020〕2号）等文件要求，下达和确定了2023年自治区创新环境（人才、基地）建设专项，分别设立天山创新团队、农业科技园区专项、高新技术产业开发区专项、双创基地建设专项、工程技术研究中心建设专项、资源共享平台建设专项、自然科学基金建设专项、少数民族科技人员特殊培养计划、重点实验室建设项目，进一步提升财政资金使用效益，充分发挥科研人员的积极性和创造性，不断增强科技对经济社会发展的支撑引领作用，为实施创新驱动发展战略提供有力保障。</w:t>
        <w:br/>
        <w:t>自治区创新环境（人才、基地）建设专项计划，突出提升创新能力，主要支持重点实验室、工程技术研究中心（技术创新中心）、科技企业孵化器、众创空间、星创天地、资源共享平台等各类科技创新（服务）平台（基地）建设；支持高新技术产业开发区、农业科技园区建设；支持自治区自然科学研究和人才培育，促进科技创新人才和创新团队的引进、培养和使用，支持少数民族科技骨干人才从事基础研究、应用基础研究、试验发展、科技成果应用等科研工作，提高少数民族科技人才科研能力，建设全方位支撑高质量发展的人才梯队。</w:t>
        <w:br/>
        <w:t xml:space="preserve">    2. 主要内容及实施情况</w:t>
        <w:br/>
        <w:t>2023年自治区科技厅通过指南征集、项目申报、项目初评、项目论证、科技计划项目委员会审定、项目公示、计划下达实施了各项计划。</w:t>
        <w:br/>
        <w:t>其中“天山创新团队计划”着眼人才基础性培养和战略性开发，以重点领域创新团队建设为抓手，培养和引进优秀青年科技人才；以自治区科技发展规划的重点任务和优先方向为导向，申报团队在研究方向上的科研组织和专业布局须符合成果转化导向、市场应用方向、系统完整要求，2023年天山创新团队计划立项20项；农业科技园区专项、高新技术产业开发区专项、双创基地建设专项属于后补助项目，在2023年分别对23家农业科技园区、15家高新技术产业开发区、20家众创空间，12家科技企业孵化器，19家星创天地做出评估并给予奖励补助经费；工程技术研究中心项目对9个领域42家工程技术研究中心做出绩效评估，评估优秀的13家给予奖励补助经费；新立项资源共享平台项目23项，加结转项目9项共计32项项目；重点实验室开放课题涉及环境、农业、医药-医学、化学等12个领域，涉及51项；少数民族科技人才特殊培养涉及农学、畜牧、药学和医学等领域，共计25个项目；自然科学基金项目共设6个项目类别，重点项目、面上项目、杰出青年科学基金项目、青年科学基金项目、联合基金项目与地州科学基金项目，共计510项。目前各项目均按照合同规定有序实施中。</w:t>
        <w:br/>
        <w:t>3.资金投入和使用情况</w:t>
        <w:br/>
        <w:t>（1）资金投入情况</w:t>
        <w:br/>
        <w:t>2023年自治区创新环境（人才、基地）建设专项财政拨款金额为11100万元，其中：自然科学基金专项5620万元、新疆少数民族科技人才特殊培养专项项目经费150万元、重点实验室专项（开放课题）项目经费1000万元、资源共享平台项目经费980万元、工程技术研究中心经费500万元、农村科技园区经费375万元、高新技术产业开发区经费375万元、“双创”基地建设经费1100万元、天山创新团队计划经费1000万元。</w:t>
        <w:br/>
        <w:t>（2）资金使用情况</w:t>
        <w:br/>
        <w:t xml:space="preserve"> 2023年自治区创新环境（人才、基地）建设专项财政拨款金额为11100万元，截止2023年12月31日，预算资金执行率为100%。</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（二）项目绩效目标。包括总体目标和阶段性目标。</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（二）项目绩效目标</w:t>
        <w:br/>
        <w:t>项目支出绩效自评表</w:t>
        <w:br/>
        <w:t>(2023年度)</w:t>
        <w:br/>
        <w:t>项目名称	2023年自治区创新环境（人才、基地）建设专项</w:t>
        <w:br/>
        <w:t>主管部门	自治区科学技术厅	实施单位	发展规划处、资源配置与管理处、高新技术处、农村科技处、社会发展与基础研究处、引进智力与人才服务处</w:t>
        <w:br/>
        <w:t>项目资金</w:t>
        <w:br/>
        <w:t>（万元）		年初预算数	全年预算数	全年执行数	分值	执行率	得分</w:t>
        <w:br/>
        <w:t>	年度资金总额	11100.00	11100	11100.00	10	100.00%	10.00分</w:t>
        <w:br/>
        <w:t>	其中：当年财政拨款	11100	11100	11100	—	—	—</w:t>
        <w:br/>
        <w:t>	 其他资金	0	0		—	—	—</w:t>
        <w:br/>
        <w:t>年度总体目标	预期目标	实际完成情况</w:t>
        <w:br/>
        <w:t>	目标1：支持具有较强创新能力和较好研究基础的科研人员、在基础研究与应用基础研究方面已取得突出成绩的青年学者和具有一定科研基础的科研人员，立足科学前沿，自主选择研究方向开展创新研究，培养造就优秀学术带头人。围绕学科发展前沿、全区经济社会发展重大需求，提炼重大科学问题及关键共性技术难题，深入系统地开展引领性、战略性和原创性研究，推动实现前瞻性基础研究、引领性原创成果重大突破。                                                                                                                     目标2：通过市场化机制、专业化服务和资本化运作方式，加快构建科技企业孵化器、众创空间等创新创业服务平台，形成多领域、多层级、全方位的创新创业服务体系。发挥高新区在产业转型升级中的引领和带动作用，聚集高端创新要素，加快科技成果转化，加快提升开发区创新驱动发展能力。                                                                                                           目标3.以自治区科技发展规划的重点任务和优先方向为导向，着眼人才基础性培养和战略性开发，以重点领域创新团队建设为抓手，培养和引进优秀科技人才。                                                                                                                      目标4：结合我区经济和社会发展需求，组织实施自然科学基金项目，重点支持产业发展中的关键共性科学问题研究；支持优势研究领域，均衡学科发展；支持基础研究队伍建设，促进科技人才培养。                                                                             目标5：发挥高新区在产业转型升级中的引领和带动作用，聚集高端创新要素，加快科技成果转化，加快提升开发区创新驱动发展能力。                                                                                                               目标6：根据新疆经济社会发展总体规划和科技发展纲要，在应用基础研究、试验发展、科技成果应用等研究领域，重点资助经过特殊培养的有创新、开拓精神的少数民族科技骨干人才，并适当资助特培对象科研成果、论文及专著的出版等。                                                   目标7：加强高素质人才队伍培养，建设运行情况良好、有较强的科技成果转化能力、科技创业服务能力，能够带动产业发展、综合效益良好，规划建设合理、达到科学管理运行水平的主体。                                                                                      目标8： 资源共享平台建设主要支持围绕围绕我区深入实施创新驱动发展战略，利用现有的科研设备设施、科学数据、生物种质、实验材料等科技资源，支持了一批大型科学仪器设备、科技文献及数据、种植资源、公共卫生、社会发展、传染疫情防控等公益性、基础性科研条件平台的建设、维护、升级改造及共享服务,不断增强我区研究开发基础条件的同时为全社会的科学研究、技术创新和社会民生提供共享服务。                                                                                              目标9：支持6-15家具有较强创新能力和较好转化能力的工程技术中心，围绕全区经济社会发展重大需求的共性和关键技术问题，开展科技研发和工程化配套，推动科技成果的转化和技术转移的科研创新平台，攻克一定数量的关键共性技术难题，获得一定数量科技成果产出，有一定数量的科技成果得以转化，产生一定数量的成果转化经济效益和社会效益。	   2023年自治区创新环境（人才、基地）建设专项投入资金11100万元，突出提升创新能力，主要支持重点实验室、工程技术研究中心（技术创新中心）、科技企业孵化器、众创空间、资源共享平台等各类科技创新（服务）平台（基地）建设；支持高新技术产业开发区、农业科技园区建设；支持自治区自然科学研究和人才培育，提高少数民族科技人才科研能力，建设全方位支撑高质量发展的人才梯队。本年度完成农业科技园区绩效评估，支持自治区级农业科技园区；支持自治区科研人员开展基础研究和应用研究，培养优秀学术带头人，培养、引进高层次人才。及时拨付财政资金，加强对项目的全流程管理，各项目按计划正常开展；根据我区经济社会发展总体规划和科技发展纲要，通过持续开展少数民族科技人才特殊培养工作，支持少数民族科技骨干人才从事基础研究、应用基础研究、试验发展、科技成果应用等科研工作，创造良好的科研条件，提升科研学术水平，培养一批具有开拓创新精神的学术带头人，促进我区少数民族科技人才队伍建设，培养、引进优秀青年科技人才。通过市场化机制、专业化服务和资本化运作方式，加快构建科技企业孵化器、众创空间等创新创业服务平台，形成多领域、多层级、全方位的创新创业服务体系。科技企业孵化器年度在孵企业达到。发挥高新区在产业转型升级中的引领和带动作用，聚集高端创新要素，加快科技成果转化，加快提升开发区创新驱动发展能力。支持高新技术产业开发区，通过指导和支持高新区技术产业开发区建设，推动高新区高质量发展，提升高新区自主创新能力，发挥高新区在产业转型升级中的引领和带动作用，聚集高端创新要素，加快科技成果转化，加快提升开发区创新驱动发展能力。高新技术产业开发区生产总值达405.1912亿元。促进科技创新人才和创新团队的引进、培养和使用。</w:t>
        <w:br/>
        <w:t>	一级指标	二级指标	三级指标	目标值	业绩值	完成率	指标得分	偏差原因分析及改进措施</w:t>
        <w:br/>
        <w:t>年度绩效指标完成情况	产出指标	数量指标	支持自治区高校及科研所数量	&gt;=60个	=100个	167	0.99	</w:t>
        <w:br/>
        <w:t>		数量指标	科技企业孵化器年度在孵科技企业数量	&gt;=1500个	=1097个	73	0.98	</w:t>
        <w:br/>
        <w:t>		数量指标	培养、引进高层次人才	&gt;=90人	=91人	101	2.97	</w:t>
        <w:br/>
        <w:t>		数量指标	培养、引进优秀青年科技人才	&gt;=200人	=215人	108	2.76	</w:t>
        <w:br/>
        <w:t>		数量指标	建设和完善科学数据与信息共享平台	&gt;=15个	=18个	120	2.4	</w:t>
        <w:br/>
        <w:t>		数量指标	支持自治区创新平台数量     	&gt;=30个	=23个	77	1.27	</w:t>
        <w:br/>
        <w:t>		数量指标	支持自治区级农业科技园区	&gt;=20个	=23个	115	2.55	</w:t>
        <w:br/>
        <w:t>		数量指标	支持高新技术产业开发区	&gt;=15个	=15个	100	3	</w:t>
        <w:br/>
        <w:t>		数量指标	创新团队数量	&gt;=20个	=20个	100	3	</w:t>
        <w:br/>
        <w:t>		质量指标	建立行业技术规范、标准（国际、国家、行业、地方企业等标准）	&gt;=5个	=6个	120	3.2	</w:t>
        <w:br/>
        <w:t>		质量指标	申请国家专利/著作权数量	&gt;=70件	=86件	123	2.31	</w:t>
        <w:br/>
        <w:t>		质量指标	促进R＆D经费投入金额	&gt;=7000万元	=7095万元	101	2.97	</w:t>
        <w:br/>
        <w:t>		时效指标	项目验收通过率	&gt;=85%	=85%	100	3	</w:t>
        <w:br/>
        <w:t>		社会成本指标	自然科学基金投入资金额度	&lt;=5620万元	=5620万元	100	4	</w:t>
        <w:br/>
        <w:t>		社会成本指标	少数民族特培投入资金额度	&lt;=150万元	=150万元	100	2	</w:t>
        <w:br/>
        <w:t>		社会成本指标	重点实验室建设投入资金额度	&lt;=1000万元	=1000万元	100	2	</w:t>
        <w:br/>
        <w:t>		社会成本指标	资源共享平台建设投入资金额度	&lt;=980万元	=980万元	100	2	</w:t>
        <w:br/>
        <w:t>		社会成本指标	工程技术研究中心建设投入资金额度	&lt;=500万元	=500万元	100	2	</w:t>
        <w:br/>
        <w:t>		社会成本指标	农村科技园区投入资金额度	&lt;=375万元	=375万元	100	2	</w:t>
        <w:br/>
        <w:t>		社会成本指标	高新技术产业开发区投入资金额度	&lt;=375万元	=375万元	100	2	</w:t>
        <w:br/>
        <w:t>		社会成本指标	“双创”基地建设投入资金额度	&lt;=1100万元	=1100万元	100	2	</w:t>
        <w:br/>
        <w:t>		社会成本指标	天山创新团队投入资金额度	&lt;=1000万元	=1000万元	100	2	</w:t>
        <w:br/>
        <w:t>	效益指标	经济效益指标	自治区级农业科技园区生产总值	&gt;=4亿元	=4.01亿元	100	10	</w:t>
        <w:br/>
        <w:t>		经济效益指标	高新技术产业开发区生产总值	&gt;=300亿元	=405亿元	135	6.5	</w:t>
        <w:br/>
        <w:t>	满意度指标	满意度指标	受资助科研人员满意度	&gt;=90%	=90%	100	5	</w:t>
        <w:br/>
        <w:t>		满意度指标	被扶持企业满意度	&gt;=90%	=90%	100	5	</w:t>
        <w:br/>
        <w:t>总分					87.90分	</w:t>
      </w:r>
    </w:p>
    <w:p>
      <w:pPr>
        <w:spacing w:line="540" w:lineRule="exact"/>
        <w:ind w:firstLine="640"/>
        <w:rPr>
          <w:rStyle w:val="18"/>
          <w:rFonts w:ascii="黑体" w:eastAsia="黑体" w:hAnsi="黑体"/>
          <w:b w:val="0"/>
          <w:spacing w:val="-4"/>
          <w:sz w:val="32"/>
          <w:szCs w:val="32"/>
        </w:rPr>
      </w:pPr>
      <w:r>
        <w:rPr>
          <w:rStyle w:val="18"/>
          <w:rFonts w:ascii="黑体" w:eastAsia="黑体" w:hAnsi="黑体" w:hint="eastAsia"/>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（一）绩效评价目的、对象和范围。</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（一）绩效评价目的、对象和范围</w:t>
        <w:br/>
        <w:t>1.绩效评价目的</w:t>
        <w:br/>
        <w:t>（1）通过对自治区创新环境（人才、基地）建设专项项目开展绩效评价，了解和掌握项目实施的具体情况，客观评价其项目资金安排的科学性、合理性、规范性和资金使用成效，及时总结项目管理经验，完善项目管理办法，提高项目管理水平和资金的使用效益。</w:t>
        <w:br/>
        <w:t>（2）促使项目承担单位根据绩效评价中发现的问题，认真加以整改，及时调整和完善单位的工作计划和绩效目标并加强项目管理，提高管理水平，同时为项目后续资金投入、分配和管理提供决策依据。</w:t>
        <w:br/>
        <w:t>2.绩效评价对象和范围</w:t>
        <w:br/>
        <w:t>本次评价从项目决策、项目管理、项目产出、项目效益（满意度）四个维度进行评价，评价对象为2023年度自治区创新环境（人才、基地）建设专项项目，包含9个子项目。</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（二）绩效评价原则、评价指标体系（附表说明）、评价方法、评价标准等。</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（二）绩效评价原则、评价指标体系（附表说明）、评价方法、评价标准等</w:t>
        <w:br/>
        <w:t>1.绩效评价依据和原则</w:t>
        <w:br/>
        <w:t>依据《中华人民共和国预算法》、《中华人民共和国预算法实施条例》、《项目支出绩效评价管理办法》（财预〔2020〕10号）系列文件的要求，本次绩效评价秉承科学规范、公正公开、分级分类、绩效相关等原则，按照从投入、过程到产出效果和影响的绩效逻辑路径，结合自治区创新环境（人才、基地）建设专项实际开展情况，运用定量和定性分析相结合的方法，客观评价项目实施成效。</w:t>
        <w:br/>
        <w:t>根据以上原则，绩效评价应遵循如下要求：</w:t>
        <w:br/>
        <w:t>（1）在数据收集时，采取客观数据，主管处室审核的形式，以保证各项指标的真实性。</w:t>
        <w:br/>
        <w:t>（2）保证评价结果的真实性、公正性，提高评价报告的公信力。</w:t>
        <w:br/>
        <w:t>（3）绩效评价报告应当简明扼要，除了对绩效评价的过程、结果描述外，还应指出问题，并就共性问题提出可操作性改进建议。</w:t>
        <w:br/>
        <w:t>2.绩效评价指标体系</w:t>
        <w:br/>
        <w:t>绩效评价指标体系主要分为共性指标和个性指标两大类。共性指标下设项目决策与项目过程2个一级指标，个性指标下设项目产出和项目效益2个一级指标。其中项目决策下设项目立项、绩效目标、资金投入3个二级指标；项目过程下设资金管理和组织实施2个二级指标；项目产出下设产出数量、产出质量、产出时效、产出成本4个二级指标；项目效果下设项目效益3个二级指标。项目绩效评价指标体系，评分表满分100分，见下表：</w:t>
        <w:br/>
        <w:t>项目支出绩效评价指标体系框架</w:t>
        <w:br/>
        <w:t>	一级指标	二级指标	权重</w:t>
        <w:br/>
        <w:t>	项目决策（20分）	项目立项	6</w:t>
        <w:br/>
        <w:t>		绩效目标	6</w:t>
        <w:br/>
        <w:t>		资金投入	8</w:t>
        <w:br/>
        <w:t>	项目过程（20分）	资金管理	10</w:t>
        <w:br/>
        <w:t>		组织实施	10</w:t>
        <w:br/>
        <w:t>	项目产出（40分）	数量指标	20</w:t>
        <w:br/>
        <w:t>		质量指标	6</w:t>
        <w:br/>
        <w:t>		时效指标	4</w:t>
        <w:br/>
        <w:t>		成本指标	10</w:t>
        <w:br/>
        <w:t>	 项目效果（20分）	社会效益指标	5</w:t>
        <w:br/>
        <w:t>		可持续影响指标	5</w:t>
        <w:br/>
        <w:t>		满意度指标	10</w:t>
        <w:br/>
        <w:t>合计	100</w:t>
        <w:br/>
        <w:t>在设计绩效评价指标体系时，首先确定总目标，根据权数逐级确定至三级指标的标准值，再分解至每项考查内容。每项考查内容依据实际考查结果评定，其中指标完成值由根据实施单位提供的资料予以评定，指标完成值按照预期指标值评定，根据指标完成值确定指标完成情况。</w:t>
        <w:br/>
        <w:t>通过对绩效评价方法的综合运用，对获取的各类数据进行汇总、分类和分析。对于量化指标，进行量化分析，得出财政支出绩效评价的量化结果；对于定性指标，则通过调查问卷、电话沟通等方法，对财政支出的效果进行定性评价。</w:t>
        <w:br/>
        <w:t>3.评价方法</w:t>
        <w:br/>
        <w:t>2023年度自治区创新环境（人才、基地）建设专项项目绩效评价方法是通过对绩效目标与项目实施效果进行比较，综合分析绩效目标实现的程度。详细方法应用如下：</w:t>
        <w:br/>
        <w:t>比较法：通过梳理该项目实施方案和实际完成情况，评价产出指标的完成情况，分析项目实施后产生的效益效果。</w:t>
        <w:br/>
        <w:t>4.评价标准</w:t>
        <w:br/>
        <w:t>本项目评价指标体系的评价标准：对于定量指标，采用计划标准，以预先制定的目标、计划、预算、定额等作为评价标准，对比分析项目产出、效益的完成情况。结合设定的评分标准，通过公式计算具体得分。对于定性指标，通过查看项目资料，采集相关数据，评价指标的完成情况。</w:t>
      </w:r>
    </w:p>
    <w:p>
      <w:pPr>
        <w:spacing w:line="540" w:lineRule="exact"/>
        <w:ind w:firstLine="567" w:firstLineChars="181"/>
        <w:rPr>
          <w:rStyle w:val="18"/>
          <w:rFonts w:ascii="楷体" w:eastAsia="楷体" w:hAnsi="楷体"/>
          <w:spacing w:val="-4"/>
          <w:sz w:val="32"/>
          <w:szCs w:val="32"/>
        </w:rPr>
      </w:pPr>
      <w:r>
        <w:rPr>
          <w:rStyle w:val="18"/>
          <w:rFonts w:ascii="楷体" w:eastAsia="楷体" w:hAnsi="楷体" w:hint="eastAsia"/>
          <w:spacing w:val="-4"/>
          <w:sz w:val="32"/>
          <w:szCs w:val="32"/>
        </w:rPr>
        <w:t>（三）绩效评价工作过程。</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（三）绩效评价工作过程</w:t>
        <w:br/>
        <w:t>根据自治区财政厅绩效评价工作部署和要求，相关处室组织项目承担单位报送绩效自评报告，对项目绩效自评报告进行审核，对存在的疑问进行了核查。综合评价情况及评价结论。</w:t>
      </w:r>
    </w:p>
    <w:p>
      <w:pPr>
        <w:spacing w:line="540" w:lineRule="exact"/>
        <w:ind w:firstLine="640"/>
        <w:rPr>
          <w:rStyle w:val="18"/>
          <w:rFonts w:ascii="黑体" w:eastAsia="黑体" w:hAnsi="黑体" w:hint="eastAsia"/>
          <w:b w:val="0"/>
          <w:spacing w:val="-4"/>
          <w:sz w:val="32"/>
          <w:szCs w:val="32"/>
        </w:rPr>
      </w:pPr>
      <w:r>
        <w:rPr>
          <w:rStyle w:val="18"/>
          <w:rFonts w:ascii="黑体" w:eastAsia="黑体" w:hAnsi="黑体" w:hint="eastAsia"/>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依据《项目支出绩效评价管理办法》（财预〔2020〕10号）有关规定，绩效评价总分设置为100分，划分为四档：90（含）-100分为优，80（含）-90分为良，60（含）-80分为中，60分以下为差。经相关处室综合分析评价，该项目综合得分92.91分，绩效等级评定为“优”。该项目资金分配、使用、管理整体情况较好。该项目通过支持重点实验室、工程技术研究中心、资源共享平台等各类科技创新（服务）平台（基地）建设以及发展产业技术创新战略联盟；支持高新技术产业开发区、农业科技园区、创新型城市和创新型县（市、区）建设；支持自治区自然科学研究和人才培育，促进科技创新人才和创新团队的引进、培养和使用，提高少数民族科技人才科研能力，建设全方位支撑高质量发展的人才梯队，对推动社会经济发展，具有一定的作用。具体得分率及评分情况见下表: </w:t>
        <w:br/>
        <w:t>整体绩效分值</w:t>
        <w:br/>
        <w:t>一级指标	权重	分值	得分率（%）</w:t>
        <w:br/>
        <w:t>项目决策	20	19.4	97%</w:t>
        <w:br/>
        <w:t>项目过程	20	18.4	92%</w:t>
        <w:br/>
        <w:t>项目产出	40	35.41	88.53%</w:t>
        <w:br/>
        <w:t>项目效果	20	19.7	98.5%</w:t>
        <w:br/>
        <w:t>合计	100	92.91	92.91%</w:t>
      </w:r>
    </w:p>
    <w:p>
      <w:pPr>
        <w:spacing w:line="540" w:lineRule="exact"/>
        <w:ind w:firstLine="640"/>
        <w:rPr>
          <w:rStyle w:val="18"/>
          <w:rFonts w:ascii="黑体" w:eastAsia="黑体" w:hAnsi="黑体"/>
        </w:rPr>
      </w:pPr>
      <w:r>
        <w:rPr>
          <w:rStyle w:val="18"/>
          <w:rFonts w:ascii="黑体" w:eastAsia="黑体" w:hAnsi="黑体" w:hint="eastAsia"/>
          <w:b w:val="0"/>
          <w:spacing w:val="-4"/>
          <w:sz w:val="32"/>
          <w:szCs w:val="32"/>
        </w:rPr>
        <w:t>四、</w:t>
      </w:r>
      <w:r>
        <w:rPr>
          <w:rStyle w:val="18"/>
          <w:rFonts w:hint="eastAsia"/>
          <w:spacing w:val="-4"/>
          <w:sz w:val="32"/>
          <w:szCs w:val="32"/>
        </w:rPr>
        <w:t>绩效评价指标分析</w:t>
      </w:r>
      <w:r>
        <w:rPr>
          <w:rStyle w:val="18"/>
          <w:rFonts w:ascii="黑体" w:eastAsia="黑体" w:hAnsi="黑体" w:hint="eastAsia"/>
          <w:b w:val="0"/>
          <w:spacing w:val="-4"/>
          <w:sz w:val="32"/>
          <w:szCs w:val="32"/>
        </w:rPr>
        <w:t xml:space="preserve"> </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（一）项目决策情况。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（一）项目决策情况</w:t>
        <w:br/>
        <w:t>项目决策评价指标权重分值共计20分，根据评分标准得分19.4分、失分0.6分、得分率97%，具体如下：</w:t>
        <w:br/>
        <w:t>一级指标	二级指标	三级指标	目标值	权重	得分</w:t>
        <w:br/>
        <w:t>A决策</w:t>
        <w:br/>
        <w:t>（20分）　	A1项目立项（10分）	A11立项依据	充分	5	5</w:t>
        <w:br/>
        <w:t>		A12立项程序规范性	合规	5	5</w:t>
        <w:br/>
        <w:t>	A2绩效目标（5分）	A21绩效目标合理性	合理	2.5	2.3</w:t>
        <w:br/>
        <w:t>		A22绩效指标明确性	明确	2.5	2.3</w:t>
        <w:br/>
        <w:t>	A3资金投入（5分）	A31预算编制科学性	科学	2.5	2.4</w:t>
        <w:br/>
        <w:t>		A32资金分配合理性	合理	2.5	2.4</w:t>
        <w:br/>
        <w:t>合计	20	19.4</w:t>
        <w:br/>
        <w:t>1.项目立项</w:t>
        <w:br/>
        <w:t>（1）A11立项依据充分性指标</w:t>
        <w:br/>
        <w:t>2023年自治区创新环境（人才、基地）建设专项项目立项根据立项根据《新疆维吾尔自治区科技计划项目管理办法》（新科规〔2019〕1号）和《新疆维吾尔自治区科技计划项目管理办法实施细则（暂行）》新科规〔2022〕1号文件要求“自治区创新环境（人才、基地）建设专项计划，通过支持各类科技创新（服务）平台（基地）建设、自然科学研究和人才培育突出提升创新能力”，项目立项符合国家法律法规、国民经济发展规划和相关政策，得2分。</w:t>
        <w:br/>
        <w:t>根据《2023年自治区创新环境（人才、基地）建设专项申报指南》，自治区创新环境（人才、基地）建设专项应“围绕实现新疆社会稳定和长治久安总目标，落实经济新常态下“六稳”“六保”的重点任务，积极承接国家和自治区战略科技力量布局，打造重大创新平台，提升新疆科技创新的核心竞争力。2023年立项的自治区创新环境（人才、基地）建设专项符合自治区行业发展规划和政策要求，得1分。</w:t>
        <w:br/>
        <w:t>2023年自治区创新环境（人才、基地）建设专项项目按照自治区科技和经济社会的发展目标筛选，与自治区科技厅贯彻执行党中央、国务院和区委、区政府关于落实国家创新驱动发展战略方针、政策职责范围相符，属于部门履职所需，得1分。</w:t>
        <w:br/>
        <w:t>根据《预算法》，项目属于公共财政支持范围，符合《国务院关于推进中央与地方财政事权和支出责任划分改革的指导意见》（国发〔2016〕49号）中关于“地方的财政事权由地方承担支出责任”的中央、地方事权支出责任划分原则，得1分。</w:t>
        <w:br/>
        <w:t>该指标满分为5分，根据评分标准得5分。</w:t>
        <w:br/>
        <w:t>（2）A12立项程序规范性指标</w:t>
        <w:br/>
        <w:t>2023年立项的自治区创新环境（人才、基地）建设专项项目均已按照《新疆维吾尔自治区科技计划项目管理办法》（新科规〔2019〕1号）和《新疆维吾尔自治区科技计划项目管理办法实施细则（暂行）》（新科规〔2022〕1号），相关规定程序申请设立，审批文件、材料符合相关要求，得3分。</w:t>
        <w:br/>
        <w:t>项目事前已经过必要的可行性研究、专家论证、风险评估、绩效评估、集体决策，得2分。</w:t>
        <w:br/>
        <w:t>该指标满分为5分，根据评分标准得5分。</w:t>
        <w:br/>
        <w:t>2.绩效目标</w:t>
        <w:br/>
        <w:t>（1）A21绩效目标合理性</w:t>
        <w:br/>
        <w:t>《2022年度自治区创新环境（人才、基地）建设专项项目支出绩效目标表》以及各子项目的项目支出绩效目标表，该项目有绩效目标，得0.5分。</w:t>
        <w:br/>
        <w:t>各子项目的项目支出绩效目标表、实施方案、项目合同书、项目自评报告或项目进度报告等资料，项目绩效目标与实际工作内容相关，得1分。</w:t>
        <w:br/>
        <w:t>各子项目的申报书、实施方案、预算书已经专家评审、自治区科技厅审核，项目预期产出效益和效果基本符合正常的业绩水平。绩效考核指标或指标值设置符合项目实际情况，得0.3分。</w:t>
        <w:br/>
        <w:t>各子项目的申报书、实施方案、预算书经专家评审、自治区科技厅审核，项目预期产出效益和效果基本符合正常的业绩水平。项目绩效目标表填报预算为11100万元，与《2023年自治区创新环境（人才、基地）建设专项资金分配表》中项目下拨资金一致，得0.5分。</w:t>
        <w:br/>
        <w:t>该指标满分为2.5分，根据评分标准得2.3分。</w:t>
        <w:br/>
        <w:t>（2）A22绩效指标明确性</w:t>
        <w:br/>
        <w:t>项目绩效目标表设置了共性指标和个性指标两大类。共性指标下设决策与过程2个一级指标，其中：项目决策下设项目立项、绩效目标、资金投入3个二级指标；项目过程下设资金管理和组织实施2个二级指标。个性指标下设产出和效益2个一级指标，其中：产出指标下设数量、质量、时效、成本4个二级指标；效益指标下设项目效益1个二级指标。三级指标共17个。项目绩效目标中产出指标已细化分解，具体指标清晰、可衡量。</w:t>
        <w:br/>
        <w:t>2023年自治自治区创新环境（人才、基地）建设专项项目绩效目标总任务为各子项目计划完成的绩效目标合计，目标任务与计划数相对应，得1.2分。</w:t>
        <w:br/>
        <w:t>2023年绩效评价自治区创新环境（人才、基地）建设专项项目绩效目标总任务为各项目计划完成的绩效目标合计，目标任务与计划数相对应，得1.1分。</w:t>
        <w:br/>
        <w:t>该指标满分为2.5分，根据评分标准得2.3分。</w:t>
        <w:br/>
        <w:t>3.资金投入</w:t>
        <w:br/>
        <w:t>（1）A31预算编制科学性</w:t>
        <w:br/>
        <w:t>根据《关于进一步加强科研诚信建设的若干意见》、《新疆维吾尔自治区财政科研项目资金管理办法》文件要求：“预算编制按照项目实施的合理需要，坚持目标相关性、政策相符性和资金合理性的原则。自治区科技厅相关处室组织专家对各项目预算编制情况进行评审”。2023年绩效评价自治区创新环境（人才、基地）建设专项按相关要求对项目进行预算编制，预算的编制有依据且与项目内容及工作任务相匹配，并经过专家评审。</w:t>
        <w:br/>
        <w:t>该指标满分为2.5分，根据评分标准得2.4分。</w:t>
        <w:br/>
        <w:t>（2）A32资金分配合理性</w:t>
        <w:br/>
        <w:t>2023年自治区创新环境（人才、基地）建设专项根据绩效评估结果、财务专家建议，结合计划年度资金总额，确定了项目数量和预算资金分配额度，预算资金分配较为科学、合理，评分为2.4分。</w:t>
        <w:br/>
        <w:t>该指标满分为2.5分，根据评分标准得2.4分。</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（二）项目过程情况。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（二）项目过程情况</w:t>
        <w:br/>
        <w:t>项目过程评价指标权重分值共计20分，根据评分标准得分18.4分、失分1.6分，得分率92%，具体如下：</w:t>
        <w:br/>
        <w:t>一级指标	二级指标	三级指标	目标值	权重	得分</w:t>
        <w:br/>
        <w:t>B项目过程</w:t>
        <w:br/>
        <w:t>（20分）	B1资金管理</w:t>
        <w:br/>
        <w:t>（8分）	B11 资金到位率	100%	4	4</w:t>
        <w:br/>
        <w:t>		B12 预算执行率	100%	4	4</w:t>
        <w:br/>
        <w:t>	B2资金管理（4分）	B13资金使用合规性	合规	4	4</w:t>
        <w:br/>
        <w:t>	B3组织实施</w:t>
        <w:br/>
        <w:t>（8分）	B21 管理制度健全性	健全	4	3.2</w:t>
        <w:br/>
        <w:t>		B22 制度执行有效性	有效	4	3.2</w:t>
        <w:br/>
        <w:t>合计	20	18.4</w:t>
        <w:br/>
        <w:t>1.资金管理</w:t>
        <w:br/>
        <w:t>（1）B11资金到位率指标  </w:t>
        <w:br/>
        <w:t>资金到位率=（11100/11100）×100%=100%</w:t>
        <w:br/>
        <w:t>到位率100%得4分，到位率≥90%得3分，到位率≥80%得2分，到位率≥70%得1分，低于70%的不得分。</w:t>
        <w:br/>
        <w:t>根据《关于下达2023年自治区科技计划专项资金的通知》，该项目总预算资金为11100万元，已分配至项目承担单位，到位率为100%。</w:t>
        <w:br/>
        <w:t>该指标满分为4分，根据评分标准得4分。</w:t>
        <w:br/>
        <w:t>（2）B12预算执行率</w:t>
        <w:br/>
        <w:t>预算执行率=（11100/11100）×100%=100%。</w:t>
        <w:br/>
        <w:t>执行率100%得4分，执行率≥70%得3分，执行率≥50%得2分，执行率≥20%得1分，低于20%的不得分。</w:t>
        <w:br/>
        <w:t>根据项目拨款情况统计表，截止2023年12月31日，预算执行率为100%。</w:t>
        <w:br/>
        <w:t>该指标满分为4分，根据评分标准得4分。</w:t>
        <w:br/>
        <w:t>（3）B13资金使用合规性</w:t>
        <w:br/>
        <w:t>根据项目承担单位提供的资金执行情况统计表，项目承担单位在资金使用方面符合国家财经法规和财务管理制度以及有关专项资金管理办法的规定。</w:t>
        <w:br/>
        <w:t>该指标满分为4分，根据评分标准得4分。</w:t>
        <w:br/>
        <w:t>2.组织实施</w:t>
        <w:br/>
        <w:t>（1）B21管理制度健全性</w:t>
        <w:br/>
        <w:t>2023年自治区创新环境（人才、基地）建设专项项目承担单位均已根据《新疆维吾尔自治区科技计划项目管理办法》（新科规〔2019〕1号）和《新疆维吾尔自治区科技计划项目管理办法实施细则（暂行）》（新科规〔2022〕1号）相关要求制定了与科技计划项目相关的财务和业务管理制度，制度制定较为合法、合规、完整。</w:t>
        <w:br/>
        <w:t>该指标满分为4分，根据评分标准得3.2分。</w:t>
        <w:br/>
        <w:t>（2）B22制度执行有效性</w:t>
        <w:br/>
        <w:t>2023年自治区创新环境（人才、基地）建设专项项目的实施遵守《中华人民共和国预算法》和《新疆维吾尔自治区科技计划项目管理办法》（新科规〔2019〕1号）和《新疆维吾尔自治区科技计划项目管理办法实施细则（暂行）》（新科规〔2022〕1号）相关规定；2023年度为项目执行前期阶段，项目尚无调整事项，项目合同书、阶段成果技术鉴定等资料齐全。</w:t>
        <w:br/>
        <w:t>该指标满分为4分，根据评分标准得3.2分。</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（三）项目产出情况。</w:t>
      </w:r>
    </w:p>
    <w:p>
      <w:pPr>
        <w:spacing w:line="540" w:lineRule="exact"/>
        <w:ind w:firstLine="567"/>
        <w:rPr>
          <w:rStyle w:val="18"/>
          <w:rFonts w:ascii="楷体" w:eastAsia="楷体" w:hAnsi="楷体"/>
          <w:spacing w:val="-4"/>
          <w:sz w:val="32"/>
          <w:szCs w:val="32"/>
        </w:rPr>
      </w:pPr>
      <w:r>
        <w:rPr>
          <w:rStyle w:val="18"/>
          <w:rFonts w:ascii="楷体" w:eastAsia="楷体" w:hAnsi="楷体" w:hint="eastAsia"/>
          <w:spacing w:val="-4"/>
          <w:sz w:val="32"/>
          <w:szCs w:val="32"/>
        </w:rPr>
        <w:t>（三）项目产出情况</w:t>
        <w:br/>
        <w:t>自治区创新环境（人才、基地）建设专项项目产出评价指标权重分值共计40分，根据评分标准得分35.41分、失分4.59分、得分率88.53%，具体如下：</w:t>
        <w:br/>
        <w:t>一级指标	二级指标	三级指标	目标值	权重	完成率	指标得分</w:t>
        <w:br/>
        <w:t>						</w:t>
        <w:br/>
        <w:t>C产出指标	C1数量指标（20分）</w:t>
        <w:br/>
        <w:t>	C11支持自治区高校及科研所数量	&gt;=60个	3	167	0.99</w:t>
        <w:br/>
        <w:t>		C12科技企业孵化器年度在孵科技企业数量	&gt;=1500个	1	73	0.73</w:t>
        <w:br/>
        <w:t>		C13培养、引进高层次人才	&gt;=90人	3	101	2.97</w:t>
        <w:br/>
        <w:t>		C14培养、引进优秀青年科技人才	&gt;=200人	3	108	2.76</w:t>
        <w:br/>
        <w:t>		C15建设和完善科学数据与信息共享平台	&gt;=15个	2	120	1.6</w:t>
        <w:br/>
        <w:t>		C16支持自治区创新平台数量     	&gt;=30个	2	77	1.54</w:t>
        <w:br/>
        <w:t>		C17支持自治区级农业科技园区	&gt;=20个	2	115	1.7</w:t>
        <w:br/>
        <w:t>		C18支持高新技术产业开发区	&gt;=15个	2	100	2</w:t>
        <w:br/>
        <w:t>		C19创新团队数量	&gt;=20个	2	100	2</w:t>
        <w:br/>
        <w:t>	C2质量指标（6分）	C21建立行业技术规范、标准（国际、国家、行业、地方企业等标准）	&gt;=5个	2	120	1.6</w:t>
        <w:br/>
        <w:t>		C22申请国家专利/著作权数量	&gt;=70件	2	123	1.54</w:t>
        <w:br/>
        <w:t>		C23促进R＆D经费投入金额	&gt;=7000万元	2	101	1.98</w:t>
        <w:br/>
        <w:t>	C3时效指标（4）	C31项目验收通过率	&gt;=85%	4	100	4</w:t>
        <w:br/>
        <w:t>	C4社会成本指标（10分）</w:t>
        <w:br/>
        <w:t>	C41自然科学基金投入资金额度	&lt;=5620万元	2	100	2</w:t>
        <w:br/>
        <w:t>		C42少数民族特培投入资金额度	&lt;=150万元	1	100	1</w:t>
        <w:br/>
        <w:t>		C43重点实验室建设投入资金额度	&lt;=1000万元	1	100	1</w:t>
        <w:br/>
        <w:t>		C44资源共享平台建设投入资金额度	&lt;=980万元	1	100	1</w:t>
        <w:br/>
        <w:t>		C45工程技术研究中心建设投入资金额度	&lt;=500万元	1	100	1</w:t>
        <w:br/>
        <w:t>		C46农村科技园区投入资金额度	&lt;=375万元	1	100	1</w:t>
        <w:br/>
        <w:t>		C47高新技术产业开发区投入资金额度	&lt;=375万元	1	100	1</w:t>
        <w:br/>
        <w:t>		C48“双创”基地建设投入资金额度	&lt;=1100万元	1	100	1</w:t>
        <w:br/>
        <w:t>		C49天山创新团队投入资金额度	&lt;=1000万元	1	100	1</w:t>
        <w:br/>
        <w:t>	合计	40	88.53%	35.41</w:t>
        <w:br/>
        <w:t></w:t>
        <w:br/>
        <w:t>1.数量指标</w:t>
        <w:br/>
        <w:t>（1）C11支持自治区高校及科研所数量（个数）</w:t>
        <w:br/>
        <w:t>根据各项目承担单位提供资料情况，该项目2023年度支持自治区高校及科研所数量100个；超过预期值，该指标按权重计算可得0.99分,得分率33%。</w:t>
        <w:br/>
        <w:t>该指标满分为3分，根据评分标准得0.99分。</w:t>
        <w:br/>
        <w:t>（2）C12科技企业孵化器年度在孵科技企业数量（个数）</w:t>
        <w:br/>
        <w:t>根据各项目承担单位提供资料情况，2023年度科技企业孵化器年度在孵科技企业数量为1097家；未完成目标值，故得0.73分,得分率73%。</w:t>
        <w:br/>
        <w:t>该指标满分为1分，根据评分标准得0.73分。</w:t>
        <w:br/>
        <w:t>（3）C13培训、引进高层次人才</w:t>
        <w:br/>
        <w:t>根据绩效评估汇总数据显示，2023年培训、引进高层次人才数为91人，超过预期值，该指标按权重计算可得2.97分，故得2.97分，得分率99%。</w:t>
        <w:br/>
        <w:t>该指标满分为3分，根据评分标准得2.97分。</w:t>
        <w:br/>
        <w:t>（4）C14培养、引进优秀青年科技人才</w:t>
        <w:br/>
        <w:t>根据绩效评估汇总数据显示，2023年培养、引进优秀青年科技人才数为215人，超过预期值，该指标按权重计算可得2.76分，故得2.76分，得分率92%。</w:t>
        <w:br/>
        <w:t>该指标满分为3分，根据评分标准得2.76分。</w:t>
        <w:br/>
        <w:t>（5）C15建设和完善科学数据与信息共享平台</w:t>
        <w:br/>
        <w:t>根据绩效评估汇总数据显示，2023年建设和完善科学数据与信息共享平台18个，超过预期值，该指标按权重计算可得1.6分，故得1.6分，得分率80%。</w:t>
        <w:br/>
        <w:t>该指标满分为2分，根据评分标准得1.6分。</w:t>
        <w:br/>
        <w:t>（6）C16支持自治区创新平台数量</w:t>
        <w:br/>
        <w:t>根据绩效评估汇总数据显示，2023年支持自治区创新平台数量23个，未完成目标值，故得1.54分,得分率77%。</w:t>
        <w:br/>
        <w:t>该指标满分为2分，根据评分标准得1.54分。</w:t>
        <w:br/>
        <w:t>（7）C17支持自治区级农业科技园区</w:t>
        <w:br/>
        <w:t>根据绩效评估汇总数据显示，2023年支持自治区级农业科技园区23个，超过预期值，该指标按权重计算可得1.7分，故得1.7分，得分率85%。</w:t>
        <w:br/>
        <w:t>该指标满分为2分，根据评分标准得1.7分。</w:t>
        <w:br/>
        <w:t>（8）C18支持高新技术产业开发区</w:t>
        <w:br/>
        <w:t>根据绩效评估汇总数据显示，2023年支持高新技术产业开发区15个，符合预期值，该指标按权重计算可得2分，故得2分，得分率100%。</w:t>
        <w:br/>
        <w:t>该指标满分为2分，根据评分标准得2分。</w:t>
        <w:br/>
        <w:t>（9）C19创新团队数量</w:t>
        <w:br/>
        <w:t>根据绩效评估汇总数据显示，2023年创新团队数量20个，符合预期值，该指标按权重计算可得2分，故得2分，得分率100%。</w:t>
        <w:br/>
        <w:t>该指标满分为2分，根据评分标准得2分。</w:t>
        <w:br/>
        <w:t>2.质量指标</w:t>
        <w:br/>
        <w:t>（1）C21建立行业技术规范、标准（国际、国家、行业、地方企业等标准）</w:t>
        <w:br/>
        <w:t>根据各项目承担单位提供资料情况，2023年建立行业技术规范、标准（国际、国家、行业、地方企业等标准）6项，超过预期值，该指标按权重计算可得1.6分，得分率80%。</w:t>
        <w:br/>
        <w:t>该指标满分为2分，根据评分标准得1.6分。</w:t>
        <w:br/>
        <w:t>（2）C22申请国家专利/著作权数量</w:t>
        <w:br/>
        <w:t>根据各项目承担单位提供资料情况，2023年申请国家专利/著作权数量86件，超过预期值，该指标按权重计算可得1.54分，得分率77%。</w:t>
        <w:br/>
        <w:t>该指标满分为2分，根据评分标准得1.54分。</w:t>
        <w:br/>
        <w:t>（3）C23促进R＆D经费投入金额</w:t>
        <w:br/>
        <w:t>根据各项目承担单位提供资料情况，2023年促进R＆D经费投入金额7095万元，超过预期值，该指标按权重计算可得1.98分，得分率99%。</w:t>
        <w:br/>
        <w:t>该指标满分为2分，根据评分标准得1.98分。</w:t>
        <w:br/>
        <w:t>3.时效指标</w:t>
        <w:br/>
        <w:t>（1）C31项目验收通过率（%）</w:t>
        <w:br/>
        <w:t>自治区创新环境（人才、基地）建设专项项目验收通过率达到85%，该指标按权重计算可得4分，得分率100%。</w:t>
        <w:br/>
        <w:t>该指标满分为4分，根据评分标准得4分。</w:t>
        <w:br/>
        <w:t>4.成本指标</w:t>
        <w:br/>
        <w:t>（1）C41自治区自然科学基金投入资金（万元）</w:t>
        <w:br/>
        <w:t>根据各项目承担单位提供资料情况，该项目实际拨款与预期指标值一致为5620万，完成值为100%，按照指标权重计算得2分，得分率100%。</w:t>
        <w:br/>
        <w:t>该指标满分为2分，根据评分标准得2分。</w:t>
        <w:br/>
        <w:t>（2）C42少数民族特培项目（万元）</w:t>
        <w:br/>
        <w:t>根据各项目承担单位提供资料情况，该项目2023年下达新疆少数民族科技人才特殊培养专项项目经费150万元，截至2023年12月31日该项目实际支付150万元与预期指标值一致，支付完成率100%。</w:t>
        <w:br/>
        <w:t>该指标满分为1分，根据评分标准得1分。</w:t>
        <w:br/>
        <w:t>（3）C43重点实验室投入资金（万元）</w:t>
        <w:br/>
        <w:t xml:space="preserve">   根据各项目承担单位提供资料情况，该项目2023年下达自治区重点实验室专项（开放课题）项目经费1000万元，与预期目标值一致，完成率100%。按照指标权重得1分。</w:t>
        <w:br/>
        <w:t>该指标满分为1分，根据评分标准得1分。</w:t>
        <w:br/>
        <w:t>（4）C44资源共享平台建设投入资金（万元）</w:t>
        <w:br/>
        <w:t>根据各项目承担单位提供资料情况，该项目实际拨款与预期指标值一致为980万，完成值为100%，按照指标权重得1分。</w:t>
        <w:br/>
        <w:t xml:space="preserve"> 该指标满分为1分，根据评分标准得1分。</w:t>
        <w:br/>
        <w:t>（5）C45工程技术研究中心（万元）</w:t>
        <w:br/>
        <w:t>根据各项目承担单位提供资料情况及绩效评估汇总数据显示，工程技术研究中心奖补资金500万元足额拨付到位，到位率100%，该指标按权重计算可得1分。</w:t>
        <w:br/>
        <w:t>该指标满分为1分，根据评分标准得1分。</w:t>
        <w:br/>
        <w:t>（6）C46农业科技园区投入资金（万元）</w:t>
        <w:br/>
        <w:t>根据各项目承担单位提供资料情况，该项目实际拨款与预期指标值一致为375万，完成值为100%，按照指标权重得1分，得分率为100%。</w:t>
        <w:br/>
        <w:t xml:space="preserve"> 该指标满分为1分，根据评分标准得1分。</w:t>
        <w:br/>
        <w:t>（7）C47高新技术产业开发区投入资金（万元）</w:t>
        <w:br/>
        <w:t>根据各项目承担单位提供资料情况，该项目实际拨款与预期指标值一致为375万，完成值为100%，按照指标权重计算得1分，得分率为100%。</w:t>
        <w:br/>
        <w:t xml:space="preserve"> 该指标满分为2分，根据评分标准得2分。</w:t>
        <w:br/>
        <w:t>（8）C48“双创”基地建设项目（万元）</w:t>
        <w:br/>
        <w:t>根据各项目承担单位提供资料情况，该项目实际拨款与预期指标值一致为1100万，完成值为100%，按照指标权重计算得1分，得分率为100%。</w:t>
        <w:br/>
        <w:t xml:space="preserve"> 该指标满分为1分，根据评分标准得1分。</w:t>
        <w:br/>
        <w:t>（9）C49天山创新团队（万元）</w:t>
        <w:br/>
        <w:t xml:space="preserve">       根据各项目承担单位提供资料情况，该项目实际拨款与预期指标值一致为1000万，完成值为100%，按照指标权重得1分，得分率为100%。</w:t>
        <w:br/>
        <w:t xml:space="preserve">     该指标满分为1分，根据评分标准得1分。</w:t>
      </w:r>
    </w:p>
    <w:p>
      <w:pPr>
        <w:spacing w:line="540" w:lineRule="exact"/>
        <w:ind w:firstLine="567" w:firstLineChars="181"/>
        <w:rPr>
          <w:rFonts w:ascii="楷体" w:eastAsia="楷体" w:hAnsi="楷体"/>
          <w:b/>
          <w:spacing w:val="-4"/>
          <w:sz w:val="32"/>
          <w:szCs w:val="32"/>
        </w:rPr>
      </w:pPr>
      <w:r>
        <w:rPr>
          <w:rFonts w:ascii="楷体" w:eastAsia="楷体" w:hAnsi="楷体" w:hint="eastAsia"/>
          <w:b/>
          <w:spacing w:val="-4"/>
          <w:sz w:val="32"/>
          <w:szCs w:val="32"/>
        </w:rPr>
        <w:t>（四）项目效益情况。</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（四）项目效益情况</w:t>
        <w:br/>
        <w:t>该类项目效益评价指标权重分值共计20分，根据评分标准得分19.7分、失分0.3分、得分率98.5%，具体如下：</w:t>
        <w:br/>
        <w:t>一级指标	二级指标	三级指标	目标值	权重	得分</w:t>
        <w:br/>
        <w:t>D效益指标（20分）	D1项目效益（20分）</w:t>
        <w:br/>
        <w:t>	D11实施效益（15分）	有效	10	10</w:t>
        <w:br/>
        <w:t>		D12满意度（5分）	满意	10	9.7</w:t>
        <w:br/>
        <w:t>合计	20	19.7</w:t>
        <w:br/>
        <w:t>1.D11实施效益</w:t>
        <w:br/>
        <w:t>该项目针对“经济效益指标”的绩效目标设置为自治区级农业科技园区生产总值&gt;=4亿元、高新技术产业开发区生产总值&gt;=300亿元。根据该指标当年的完成情况均符合年初预期设立的目标值，综合打分为10分。</w:t>
        <w:br/>
        <w:t>该指标满分为10分，根据评分标准得10分。</w:t>
      </w:r>
    </w:p>
    <w:p>
      <w:pPr>
        <w:spacing w:line="540" w:lineRule="exact"/>
        <w:ind w:firstLine="567"/>
        <w:rPr>
          <w:rStyle w:val="18"/>
          <w:rFonts w:ascii="楷体" w:eastAsia="楷体" w:hAnsi="楷体" w:hint="eastAsia"/>
          <w:spacing w:val="-4"/>
          <w:sz w:val="32"/>
          <w:szCs w:val="32"/>
        </w:rPr>
      </w:pPr>
      <w:r>
        <w:rPr>
          <w:rStyle w:val="18"/>
          <w:rFonts w:ascii="楷体" w:eastAsia="楷体" w:hAnsi="楷体" w:hint="eastAsia"/>
          <w:spacing w:val="-4"/>
          <w:sz w:val="32"/>
          <w:szCs w:val="32"/>
        </w:rPr>
        <w:t>2.D12满意度</w:t>
        <w:br/>
        <w:t>根据对2023年自治区创新环境（人才、基地）建设专项的满意度情况了解，受资助科研人员满意度、被扶持企业满意度≥90%，满意度较高。 </w:t>
        <w:br/>
        <w:t>该指标满分为10分，得9.7分。</w:t>
      </w:r>
      <w:bookmarkStart w:id="0" w:name="_GoBack"/>
      <w:bookmarkEnd w:id="0"/>
    </w:p>
    <w:p>
      <w:pPr>
        <w:spacing w:line="540" w:lineRule="exact"/>
        <w:ind w:firstLine="640"/>
        <w:rPr>
          <w:rStyle w:val="18"/>
          <w:rFonts w:ascii="黑体" w:eastAsia="黑体" w:hAnsi="黑体"/>
          <w:spacing w:val="-4"/>
          <w:sz w:val="32"/>
          <w:szCs w:val="32"/>
        </w:rPr>
      </w:pPr>
      <w:r>
        <w:rPr>
          <w:rStyle w:val="18"/>
          <w:rFonts w:ascii="黑体" w:eastAsia="黑体" w:hAnsi="黑体" w:hint="eastAsia"/>
          <w:b w:val="0"/>
          <w:spacing w:val="-4"/>
          <w:sz w:val="32"/>
          <w:szCs w:val="32"/>
          <w:lang w:eastAsia="zh-CN"/>
        </w:rPr>
        <w:t>五</w:t>
      </w:r>
      <w:r>
        <w:rPr>
          <w:rStyle w:val="18"/>
          <w:rFonts w:ascii="黑体" w:eastAsia="黑体" w:hAnsi="黑体" w:hint="eastAsia"/>
          <w:b w:val="0"/>
          <w:spacing w:val="-4"/>
          <w:sz w:val="32"/>
          <w:szCs w:val="32"/>
        </w:rPr>
        <w:t>、</w:t>
      </w:r>
      <w:r>
        <w:rPr>
          <w:rStyle w:val="18"/>
          <w:rFonts w:ascii="黑体" w:eastAsia="黑体" w:hAnsi="黑体"/>
          <w:b w:val="0"/>
          <w:spacing w:val="-4"/>
          <w:sz w:val="32"/>
          <w:szCs w:val="32"/>
        </w:rPr>
        <w:t>主要经验及做法、存在的问题及原因分析</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五、主要经验及做法、存在的问题及原因分析</w:t>
        <w:br/>
        <w:t>（一）主要经验及做法</w:t>
        <w:br/>
        <w:t>一是项目立项前，严把项目预算关。组织财务专家和技术专家共同对申报项目进行论证，要求专家根据《新疆维吾尔自治区财政科研项目资金管理办法》相关规定，严格审核立项项目《经费预算书》，对于单笔经费支出超过50万元的设备需要提供必要性论证说明，并重点对国产替代设备和经费资助额度给出建议。</w:t>
        <w:br/>
        <w:t>二是项目执行过程中，严格执行项目实行年度执行情况报告制度。每年按管理办法的相关规定，组织在研项目承担单位和项目负责人在服务平台在线填报“自治区科技计划项目年度执行情况报告”，对项目的实施情况、指标完成情况、获得的科技成果情况、科技成果的知识产权保护情况、科技成果转移转化情况、科技成果收益及分配情况、经费支出情况、绩效目标完成情况等进行自评价。资源配置与管理处根据各项目资金预算执行情况确定项目经费滚动拨付的额度，以提高项目资金执行率。</w:t>
        <w:br/>
        <w:t>三是项目完成后，严格实行绩效评价制度。科技厅组织对项目合同书（任务书）考核指标和绩效目标完成情况，以及项目资金管理使用等情况实行一次性综合绩效评价。对验收结论为不通过和财务验收整改后通过的项目，以及项目承担单位科研诚信评价不良的项目，收回结余资金。</w:t>
        <w:br/>
        <w:t>四是创新工作方式方法，提升科技计划项目管理效能。在指南发布后，通过培训，做好指南解读，不仅提高了申报效率，还进一步扩大了政策宣讲的广度与深度。严格按照指南支持的领域选拔人才，根据专业技术领域分小组评审，选取本领域技术专家，评审过程以背靠背形式进行，采取“网络函评+专家会评”相结合的方式，坚持公开公平公正。</w:t>
        <w:br/>
        <w:t>五是完成《自治区自然科学基金项目管理办法》修订工作，强化前瞻性、战略性、系统性布局，开展我区自然科学基金改革，包括放宽女性申报杰青和青年项目年龄、突出自由探索和目标导向，鼓励交叉学科发展、开展“包干制”经费试点等。并不断完善基金多元投入机制，扩宽了联合基金的合作类型，增加了重点项目，各地州和有条件的企业都可以纳入联合基金合作单位中来，找准科学问题，共同出资支持自治区基础研究。</w:t>
        <w:br/>
        <w:t>（二）存在的问题及原因分析</w:t>
        <w:br/>
        <w:t>一是“双创”基地建设方面，由于地区创新环境差异，双创载体尤其是科技企业孵化器分布不均，个别地州尚未覆盖。部分地区企业的创新能力、创新意识仍需进一步加强，各双创载体的服务能力和水平还需进一步提升。全社会创新创业氛围还不够浓厚，引导和激励创新创业者积极创新创业的措施、方法还不够。</w:t>
        <w:br/>
        <w:t>二是少数民族特培方面，项目存在研发经费前期投入小，后期投入逐步增大的特点。资金拨付时间在2023年下半年，致使财政支持经费支出执行进度滞后。经费从地州财政层层下拨到承担单位耗时较长；项目初期部分工作未有科研经费支出科目，如前期写论文。可以看出，项目均已经正常开展，但经费使用分情况有所滞后。</w:t>
        <w:br/>
        <w:t>三是重点实验室开放课题方面，项目前期工作不全面，没有深入细致地科学规划好后续各项工作，项目绩效指标设置过于笼统，不够细化，在实施绩效监控和绩效评价时较为困难。绩效目标的设置应符合量化、细化的要求。</w:t>
        <w:br/>
        <w:t>四是资源共享平台项目方面，项目设计主要为基础条件的完善和提升，所以有一定数量的设备采购，设备采购中会存在尾款、设备质保金等费用后期支出。此外，大部分项目提出“项目经费不足”，导致项目建设延续性及深入性受限。目前执行期到期的资源关联信息数字化类的平台项目均已完成平台的数字化搭建工作，但绝大部分的项目承担单位在后续建设完善、社会共享、维护等方面存在资金不足的问题，可能导致平台因项目而建，建完验收通过后就荒废的局面。</w:t>
        <w:br/>
        <w:t>五是高新技术产业开发区建设方面，发展资金存在压力，创新能力有待提升。自治区高新区普遍存在科技经费投入少、高学历人员缺乏且流失严重等问题。自治区级高新区内研发机构数量普遍较少，16家自治区高新区中，5家研发机构数量少于3个。</w:t>
        <w:br/>
        <w:t>管理体制机制需进一步理顺，营商环境亟待改善。目前自治区级高新区和其他各类园区存在交叉重合，大部分高新区在经开区、工业园等基础上建立，管理体制复杂。在环境营造方面，部分高新区服务意识不强，服务效率较低，企业负担较重，产业扶持、科技创新、人才引育等优惠政策难以落实。此外开放创新程度低，融入“一带一路”不足。高新区支撑丝绸之路经济带核心区建设的作用不明显，引智引才制度机制未健全和完善，利用援疆机制强化合作的成效未凸显，与疆内疆外高新区交流合作机制未形成，缺乏支持高新技术企业走出去的政策和措施，与周边国家人才、技术交流合作不活跃，高新技术产业合作成效不明显。</w:t>
        <w:br/>
        <w:t>六是自然科学基金方面，部分地州单位科研经费被当地财政部门截留或收回，严重影响了项目实施，也使我厅难以开展项目管理、验收等工作，处于非常被动的局面。基金项目执行期为3-4年，第一年在产出方面难以产生实际效果，如一些论文从投稿到刊登周期很长，培养研究生在次年毕业季方可见到成效，需要对整个执行期进行统筹安排，在设立绩效目标时项目负责人往往纠结于填写整个执行期目标还是当年目标。</w:t>
      </w:r>
    </w:p>
    <w:p>
      <w:pPr>
        <w:ind w:firstLine="624" w:firstLineChars="200"/>
        <w:rPr>
          <w:rStyle w:val="18"/>
          <w:rFonts w:ascii="黑体" w:eastAsia="黑体" w:hAnsi="黑体"/>
          <w:b w:val="0"/>
          <w:spacing w:val="-4"/>
          <w:sz w:val="32"/>
          <w:szCs w:val="32"/>
        </w:rPr>
      </w:pPr>
      <w:r>
        <w:rPr>
          <w:rStyle w:val="18"/>
          <w:rFonts w:ascii="黑体" w:eastAsia="黑体" w:hAnsi="黑体" w:hint="eastAsia"/>
          <w:b w:val="0"/>
          <w:spacing w:val="-4"/>
          <w:sz w:val="32"/>
          <w:szCs w:val="32"/>
          <w:lang w:eastAsia="zh-CN"/>
        </w:rPr>
        <w:t>六</w:t>
      </w:r>
      <w:r>
        <w:rPr>
          <w:rStyle w:val="18"/>
          <w:rFonts w:ascii="黑体" w:eastAsia="黑体" w:hAnsi="黑体"/>
          <w:b w:val="0"/>
          <w:spacing w:val="-4"/>
          <w:sz w:val="32"/>
          <w:szCs w:val="32"/>
        </w:rPr>
        <w:t>、有关建议</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六、有关建议</w:t>
        <w:br/>
        <w:t>（一）科学编制预算，提高预算与目标匹配度</w:t>
        <w:br/>
        <w:t>科学的预算编制应该保证预算和目标在质和量上相匹配，即一方面预算应该根据目标来编制，保证每一个目标的实现均有相应的预算安排，另一方面应在合理测算工作量的基础上保证预算编制的准确性。建议预算单位会同财政部门共同梳理项目绩效目标，合理测算每年项目工作量，科学编制预算。</w:t>
        <w:br/>
        <w:t>（二）制定明确的验收标准，加强绩效管理，完善年度绩效目标</w:t>
        <w:br/>
        <w:t>项目预算部门应根据项目的相关管理制度或预申报资金情况，制定明确的验收标准。对于项目的实施，根据年度实施项目内容，设置合理的绩效指标，严格按照指向明确、具体细化和合理可行这三个标准设定项目绩效目标，从而更有利地推动项目实施效果。</w:t>
        <w:br/>
        <w:t>（三）加大培训力度，为科学编制预算答疑解惑</w:t>
        <w:br/>
        <w:t>建议相关业务处室，就绩效管理的相关政策和制度开展有针对性的培训，将绩效管理和财务管理的有机结合落实到位，强化项目承担单位责任，以提高专项资金使用的规范性。同时建议相关业务处室加强对绩效管理单位的业务指导，重点关注项目绩效目标设置的依据、可行性和合理性，设定规范、科学、合理的绩效目标，更加有效的做好绩效监控和评价。</w:t>
        <w:br/>
        <w:t>（四）增加经费支持，助推少数民族特培工作高发展</w:t>
        <w:br/>
        <w:t>加大“少数民族特培计划”专项经费支持力度，重点支持少数民族科技人才开展应用基础研究、试验发展和科技成果转化应用，进一步加强研发力度和深度。加大少数民族科技人员培养力度，提高各级项目管理人员业务管理水平，完善相应的管理机制，更好地推动少数民族特培工作的发展。</w:t>
      </w:r>
    </w:p>
    <w:p>
      <w:pPr>
        <w:spacing w:line="540" w:lineRule="exact"/>
        <w:ind w:firstLine="567"/>
        <w:rPr>
          <w:rStyle w:val="18"/>
          <w:rFonts w:ascii="黑体" w:eastAsia="黑体" w:hAnsi="黑体"/>
          <w:b w:val="0"/>
          <w:spacing w:val="-4"/>
          <w:sz w:val="32"/>
          <w:szCs w:val="32"/>
        </w:rPr>
      </w:pPr>
      <w:r>
        <w:rPr>
          <w:rStyle w:val="18"/>
          <w:rFonts w:ascii="黑体" w:eastAsia="黑体" w:hAnsi="黑体" w:hint="eastAsia"/>
          <w:b w:val="0"/>
          <w:spacing w:val="-4"/>
          <w:sz w:val="32"/>
          <w:szCs w:val="32"/>
          <w:lang w:eastAsia="zh-CN"/>
        </w:rPr>
        <w:t>七</w:t>
      </w:r>
      <w:r>
        <w:rPr>
          <w:rStyle w:val="18"/>
          <w:rFonts w:ascii="黑体" w:eastAsia="黑体" w:hAnsi="黑体" w:hint="eastAsia"/>
          <w:b w:val="0"/>
          <w:spacing w:val="-4"/>
          <w:sz w:val="32"/>
          <w:szCs w:val="32"/>
        </w:rPr>
        <w:t>、其他需要说明的问题</w:t>
      </w:r>
    </w:p>
    <w:p>
      <w:pPr>
        <w:spacing w:line="540" w:lineRule="exact"/>
        <w:ind w:firstLine="627" w:firstLineChars="200"/>
        <w:rPr>
          <w:rStyle w:val="18"/>
          <w:rFonts w:ascii="楷体" w:eastAsia="楷体" w:hAnsi="楷体"/>
          <w:spacing w:val="-4"/>
          <w:sz w:val="32"/>
          <w:szCs w:val="32"/>
        </w:rPr>
      </w:pPr>
      <w:r>
        <w:rPr>
          <w:rStyle w:val="18"/>
          <w:rFonts w:ascii="楷体" w:eastAsia="楷体" w:hAnsi="楷体" w:hint="eastAsia"/>
          <w:spacing w:val="-4"/>
          <w:sz w:val="32"/>
          <w:szCs w:val="32"/>
        </w:rPr>
        <w:t>七、其他需要说明的问题</w:t>
        <w:br/>
        <w:t>本次预算绩效评价所采集的数据因为采集时间、数据来源等诸多因素的影响，可能会出现一定的偏差，进而对评价结果存在影响。</w:t>
      </w: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p>
      <w:pPr>
        <w:spacing w:line="540" w:lineRule="exact"/>
        <w:ind w:firstLine="567"/>
        <w:rPr>
          <w:rStyle w:val="18"/>
          <w:rFonts w:ascii="仿宋" w:eastAsia="仿宋" w:hAnsi="仿宋"/>
          <w:b w:val="0"/>
          <w:spacing w:val="-4"/>
          <w:sz w:val="32"/>
          <w:szCs w:val="32"/>
        </w:rPr>
      </w:pPr>
    </w:p>
    <w:sectPr>
      <w:footerReference r:id="rId3" w:type="default"/>
      <w:pgSz w:h="16838" w:w="11906"/>
      <w:pgMar w:bottom="1440" w:footer="992" w:gutter="0" w:header="851" w:left="1800" w:right="1558" w:top="1440"/>
      <w:cols w:num="1" w:space="425"/>
      <w:docGrid w:charSpace="0"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2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xmlns:wpsCustomData="http://www.wps.cn/officeDocument/2013/wpsCustomData" mc:Ignorable="w14">
  <w:docDefaults>
    <w:rPrDefault>
      <w:rPr>
        <w:rFonts w:asciiTheme="minorHAnsi" w:cs="Times New Roman" w:eastAsiaTheme="minorEastAsia" w:hAnsiTheme="minorHAnsi"/>
      </w:rPr>
    </w:rPrDefault>
    <w:pPrDefault/>
  </w:docDefaults>
  <w:latentStyles w:count="260"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semiHidden="0"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qFormat="1" w:semiHidden="0" w:uiPriority="99"/>
    <w:lsdException w:name="footer" w:qFormat="1" w:semiHidden="0" w:uiPriority="99"/>
    <w:lsdException w:name="index heading" w:uiPriority="99"/>
    <w:lsdException w:name="caption" w:uiPriority="35"/>
    <w:lsdException w:name="table of figures" w:uiPriority="99"/>
    <w:lsdException w:name="envelope addres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qFormat="1" w:semiHidden="0" w:uiPriority="10" w:unhideWhenUsed="0"/>
    <w:lsdException w:name="Closing" w:uiPriority="99"/>
    <w:lsdException w:name="Signature" w:uiPriority="99"/>
    <w:lsdException w:name="Default Paragraph Font" w:qFormat="1" w:uiPriority="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qFormat="1" w:semiHidden="0" w:uiPriority="11" w:unhideWhenUsed="0"/>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semiHidden="0" w:uiPriority="0" w:unhideWhenUsed="0"/>
    <w:lsdException w:name="Emphasis" w:qFormat="1" w:semiHidden="0" w:uiPriority="20" w:unhideWhenUsed="0"/>
    <w:lsdException w:name="Document Map" w:uiPriority="99"/>
    <w:lsdException w:name="Plain Text" w:uiPriority="99"/>
    <w:lsdException w:name="E-mail Signature" w:uiPriority="99"/>
    <w:lsdException w:name="Normal (Web)"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qFormat="1" w:uiPriority="99"/>
    <w:lsdException w:name="annotation subject"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semiHidden="0" w:uiPriority="99" w:unhideWhenUsed="0"/>
    <w:lsdException w:name="Table Subtle 2" w:uiPriority="99"/>
    <w:lsdException w:name="Table Web 1" w:uiPriority="99"/>
    <w:lsdException w:name="Table Web 2" w:semiHidden="0" w:uiPriority="99" w:unhideWhenUsed="0"/>
    <w:lsdException w:name="Table Web 3" w:semiHidden="0" w:uiPriority="99" w:unhideWhenUsed="0"/>
    <w:lsdException w:name="Balloon Text" w:qFormat="1" w:uiPriority="99"/>
    <w:lsdException w:name="Table Grid" w:semiHidden="0" w:uiPriority="59" w:unhideWhenUsed="0"/>
    <w:lsdException w:name="Table Theme" w:uiPriority="99"/>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default="1" w:styleId="1" w:type="paragraph">
    <w:name w:val="Normal"/>
    <w:qFormat/>
    <w:uiPriority w:val="0"/>
    <w:pPr>
      <w:widowControl w:val="0"/>
      <w:jc w:val="both"/>
    </w:pPr>
    <w:rPr>
      <w:rFonts w:ascii="Times New Roman" w:cs="Times New Roman" w:eastAsia="宋体" w:hAnsi="Times New Roman"/>
      <w:kern w:val="2"/>
      <w:sz w:val="21"/>
      <w:szCs w:val="24"/>
      <w:lang w:bidi="ar-SA" w:eastAsia="zh-CN" w:val="en-US"/>
    </w:rPr>
  </w:style>
  <w:style w:styleId="2" w:type="paragraph">
    <w:name w:val="heading 1"/>
    <w:basedOn w:val="1"/>
    <w:next w:val="1"/>
    <w:link w:val="20"/>
    <w:qFormat/>
    <w:uiPriority w:val="9"/>
    <w:pPr>
      <w:keepNext/>
      <w:widowControl/>
      <w:spacing w:after="60" w:before="240"/>
      <w:jc w:val="left"/>
      <w:outlineLvl w:val="0"/>
    </w:pPr>
    <w:rPr>
      <w:rFonts w:asciiTheme="majorHAnsi" w:eastAsiaTheme="majorEastAsia" w:hAnsiTheme="majorHAnsi"/>
      <w:b/>
      <w:bCs/>
      <w:kern w:val="32"/>
      <w:sz w:val="32"/>
      <w:szCs w:val="32"/>
    </w:rPr>
  </w:style>
  <w:style w:styleId="3" w:type="paragraph">
    <w:name w:val="heading 2"/>
    <w:basedOn w:val="1"/>
    <w:next w:val="1"/>
    <w:link w:val="21"/>
    <w:semiHidden/>
    <w:unhideWhenUsed/>
    <w:qFormat/>
    <w:uiPriority w:val="9"/>
    <w:pPr>
      <w:keepNext/>
      <w:widowControl/>
      <w:spacing w:after="60" w:before="240"/>
      <w:jc w:val="left"/>
      <w:outlineLvl w:val="1"/>
    </w:pPr>
    <w:rPr>
      <w:rFonts w:asciiTheme="majorHAnsi" w:eastAsiaTheme="majorEastAsia" w:hAnsiTheme="majorHAnsi"/>
      <w:b/>
      <w:bCs/>
      <w:i/>
      <w:iCs/>
      <w:kern w:val="0"/>
      <w:sz w:val="28"/>
      <w:szCs w:val="28"/>
    </w:rPr>
  </w:style>
  <w:style w:styleId="4" w:type="paragraph">
    <w:name w:val="heading 3"/>
    <w:basedOn w:val="1"/>
    <w:next w:val="1"/>
    <w:link w:val="22"/>
    <w:semiHidden/>
    <w:unhideWhenUsed/>
    <w:qFormat/>
    <w:uiPriority w:val="9"/>
    <w:pPr>
      <w:keepNext/>
      <w:widowControl/>
      <w:spacing w:after="60" w:before="240"/>
      <w:jc w:val="left"/>
      <w:outlineLvl w:val="2"/>
    </w:pPr>
    <w:rPr>
      <w:rFonts w:asciiTheme="majorHAnsi" w:eastAsiaTheme="majorEastAsia" w:hAnsiTheme="majorHAnsi"/>
      <w:b/>
      <w:bCs/>
      <w:kern w:val="0"/>
      <w:sz w:val="26"/>
      <w:szCs w:val="26"/>
    </w:rPr>
  </w:style>
  <w:style w:styleId="5" w:type="paragraph">
    <w:name w:val="heading 4"/>
    <w:basedOn w:val="1"/>
    <w:next w:val="1"/>
    <w:link w:val="23"/>
    <w:unhideWhenUsed/>
    <w:qFormat/>
    <w:uiPriority w:val="9"/>
    <w:pPr>
      <w:keepNext/>
      <w:widowControl/>
      <w:spacing w:after="60" w:before="240"/>
      <w:jc w:val="left"/>
      <w:outlineLvl w:val="3"/>
    </w:pPr>
    <w:rPr>
      <w:rFonts w:asciiTheme="minorHAnsi" w:eastAsiaTheme="minorEastAsia" w:hAnsiTheme="minorHAnsi"/>
      <w:b/>
      <w:bCs/>
      <w:kern w:val="0"/>
      <w:sz w:val="28"/>
      <w:szCs w:val="28"/>
    </w:rPr>
  </w:style>
  <w:style w:styleId="6" w:type="paragraph">
    <w:name w:val="heading 5"/>
    <w:basedOn w:val="1"/>
    <w:next w:val="1"/>
    <w:link w:val="24"/>
    <w:semiHidden/>
    <w:unhideWhenUsed/>
    <w:qFormat/>
    <w:uiPriority w:val="9"/>
    <w:pPr>
      <w:widowControl/>
      <w:spacing w:after="60" w:before="240"/>
      <w:jc w:val="left"/>
      <w:outlineLvl w:val="4"/>
    </w:pPr>
    <w:rPr>
      <w:rFonts w:asciiTheme="minorHAnsi" w:eastAsiaTheme="minorEastAsia" w:hAnsiTheme="minorHAnsi"/>
      <w:b/>
      <w:bCs/>
      <w:i/>
      <w:iCs/>
      <w:kern w:val="0"/>
      <w:sz w:val="26"/>
      <w:szCs w:val="26"/>
    </w:rPr>
  </w:style>
  <w:style w:styleId="7" w:type="paragraph">
    <w:name w:val="heading 6"/>
    <w:basedOn w:val="1"/>
    <w:next w:val="1"/>
    <w:link w:val="25"/>
    <w:semiHidden/>
    <w:unhideWhenUsed/>
    <w:qFormat/>
    <w:uiPriority w:val="9"/>
    <w:pPr>
      <w:widowControl/>
      <w:spacing w:after="60" w:before="240"/>
      <w:jc w:val="left"/>
      <w:outlineLvl w:val="5"/>
    </w:pPr>
    <w:rPr>
      <w:rFonts w:asciiTheme="minorHAnsi" w:eastAsiaTheme="minorEastAsia" w:hAnsiTheme="minorHAnsi"/>
      <w:b/>
      <w:bCs/>
      <w:kern w:val="0"/>
      <w:sz w:val="22"/>
      <w:szCs w:val="22"/>
    </w:rPr>
  </w:style>
  <w:style w:styleId="8" w:type="paragraph">
    <w:name w:val="heading 7"/>
    <w:basedOn w:val="1"/>
    <w:next w:val="1"/>
    <w:link w:val="26"/>
    <w:semiHidden/>
    <w:unhideWhenUsed/>
    <w:qFormat/>
    <w:uiPriority w:val="9"/>
    <w:pPr>
      <w:widowControl/>
      <w:spacing w:after="60" w:before="240"/>
      <w:jc w:val="left"/>
      <w:outlineLvl w:val="6"/>
    </w:pPr>
    <w:rPr>
      <w:rFonts w:asciiTheme="minorHAnsi" w:eastAsiaTheme="minorEastAsia" w:hAnsiTheme="minorHAnsi"/>
      <w:kern w:val="0"/>
      <w:sz w:val="24"/>
    </w:rPr>
  </w:style>
  <w:style w:styleId="9" w:type="paragraph">
    <w:name w:val="heading 8"/>
    <w:basedOn w:val="1"/>
    <w:next w:val="1"/>
    <w:link w:val="27"/>
    <w:semiHidden/>
    <w:unhideWhenUsed/>
    <w:qFormat/>
    <w:uiPriority w:val="9"/>
    <w:pPr>
      <w:widowControl/>
      <w:spacing w:after="60" w:before="240"/>
      <w:jc w:val="left"/>
      <w:outlineLvl w:val="7"/>
    </w:pPr>
    <w:rPr>
      <w:rFonts w:asciiTheme="minorHAnsi" w:eastAsiaTheme="minorEastAsia" w:hAnsiTheme="minorHAnsi"/>
      <w:i/>
      <w:iCs/>
      <w:kern w:val="0"/>
      <w:sz w:val="24"/>
    </w:rPr>
  </w:style>
  <w:style w:styleId="10" w:type="paragraph">
    <w:name w:val="heading 9"/>
    <w:basedOn w:val="1"/>
    <w:next w:val="1"/>
    <w:link w:val="28"/>
    <w:semiHidden/>
    <w:unhideWhenUsed/>
    <w:qFormat/>
    <w:uiPriority w:val="9"/>
    <w:pPr>
      <w:widowControl/>
      <w:spacing w:after="60" w:before="240"/>
      <w:jc w:val="left"/>
      <w:outlineLvl w:val="8"/>
    </w:pPr>
    <w:rPr>
      <w:rFonts w:asciiTheme="majorHAnsi" w:eastAsiaTheme="majorEastAsia" w:hAnsiTheme="majorHAnsi"/>
      <w:kern w:val="0"/>
      <w:sz w:val="22"/>
      <w:szCs w:val="22"/>
    </w:rPr>
  </w:style>
  <w:style w:default="1" w:styleId="17" w:type="character">
    <w:name w:val="Default Paragraph Font"/>
    <w:semiHidden/>
    <w:unhideWhenUsed/>
    <w:qFormat/>
    <w:uiPriority w:val="1"/>
  </w:style>
  <w:style w:default="1" w:styleId="16" w:type="table">
    <w:name w:val="Normal Table"/>
    <w:semiHidden/>
    <w:unhideWhenUsed/>
    <w:qFormat/>
    <w:uiPriority w:val="99"/>
    <w:tblPr>
      <w:tblCellMar>
        <w:top w:type="dxa" w:w="0"/>
        <w:left w:type="dxa" w:w="108"/>
        <w:bottom w:type="dxa" w:w="0"/>
        <w:right w:type="dxa" w:w="108"/>
      </w:tblCellMar>
    </w:tblPr>
  </w:style>
  <w:style w:styleId="11" w:type="paragraph">
    <w:name w:val="Balloon Text"/>
    <w:basedOn w:val="1"/>
    <w:link w:val="45"/>
    <w:semiHidden/>
    <w:unhideWhenUsed/>
    <w:qFormat/>
    <w:uiPriority w:val="99"/>
    <w:rPr>
      <w:sz w:val="18"/>
      <w:szCs w:val="18"/>
    </w:rPr>
  </w:style>
  <w:style w:styleId="12" w:type="paragraph">
    <w:name w:val="footer"/>
    <w:basedOn w:val="1"/>
    <w:link w:val="44"/>
    <w:unhideWhenUsed/>
    <w:qFormat/>
    <w:uiPriority w:val="99"/>
    <w:pPr>
      <w:tabs>
        <w:tab w:pos="4153" w:val="center"/>
        <w:tab w:pos="8306" w:val="right"/>
      </w:tabs>
      <w:snapToGrid w:val="0"/>
      <w:jc w:val="left"/>
    </w:pPr>
    <w:rPr>
      <w:rFonts w:ascii="Calibri" w:hAnsi="Calibri"/>
      <w:sz w:val="18"/>
      <w:szCs w:val="18"/>
    </w:rPr>
  </w:style>
  <w:style w:styleId="13" w:type="paragraph">
    <w:name w:val="header"/>
    <w:basedOn w:val="1"/>
    <w:link w:val="43"/>
    <w:unhideWhenUsed/>
    <w:qFormat/>
    <w:uiPriority w:val="99"/>
    <w:pPr>
      <w:pBdr>
        <w:bottom w:color="auto" w:space="1" w:sz="6" w:val="single"/>
      </w:pBdr>
      <w:tabs>
        <w:tab w:pos="4153" w:val="center"/>
        <w:tab w:pos="8306" w:val="right"/>
      </w:tabs>
      <w:snapToGrid w:val="0"/>
      <w:jc w:val="center"/>
    </w:pPr>
    <w:rPr>
      <w:rFonts w:ascii="Calibri" w:hAnsi="Calibri"/>
      <w:sz w:val="18"/>
      <w:szCs w:val="18"/>
    </w:rPr>
  </w:style>
  <w:style w:styleId="14" w:type="paragraph">
    <w:name w:val="Subtitle"/>
    <w:basedOn w:val="1"/>
    <w:next w:val="1"/>
    <w:link w:val="30"/>
    <w:qFormat/>
    <w:uiPriority w:val="11"/>
    <w:pPr>
      <w:widowControl/>
      <w:spacing w:after="60"/>
      <w:jc w:val="center"/>
      <w:outlineLvl w:val="1"/>
    </w:pPr>
    <w:rPr>
      <w:rFonts w:asciiTheme="majorHAnsi" w:eastAsiaTheme="majorEastAsia" w:hAnsiTheme="majorHAnsi"/>
      <w:kern w:val="0"/>
      <w:sz w:val="24"/>
    </w:rPr>
  </w:style>
  <w:style w:styleId="15" w:type="paragraph">
    <w:name w:val="Title"/>
    <w:basedOn w:val="1"/>
    <w:next w:val="1"/>
    <w:link w:val="29"/>
    <w:qFormat/>
    <w:uiPriority w:val="10"/>
    <w:pPr>
      <w:widowControl/>
      <w:spacing w:after="60" w:before="240"/>
      <w:jc w:val="center"/>
      <w:outlineLvl w:val="0"/>
    </w:pPr>
    <w:rPr>
      <w:rFonts w:asciiTheme="majorHAnsi" w:eastAsiaTheme="majorEastAsia" w:hAnsiTheme="majorHAnsi"/>
      <w:b/>
      <w:bCs/>
      <w:kern w:val="28"/>
      <w:sz w:val="32"/>
      <w:szCs w:val="32"/>
    </w:rPr>
  </w:style>
  <w:style w:styleId="18" w:type="character">
    <w:name w:val="Strong"/>
    <w:basedOn w:val="17"/>
    <w:qFormat/>
    <w:uiPriority w:val="0"/>
    <w:rPr>
      <w:b/>
      <w:bCs/>
    </w:rPr>
  </w:style>
  <w:style w:styleId="19" w:type="character">
    <w:name w:val="Emphasis"/>
    <w:basedOn w:val="17"/>
    <w:qFormat/>
    <w:uiPriority w:val="20"/>
    <w:rPr>
      <w:rFonts w:asciiTheme="minorHAnsi" w:hAnsiTheme="minorHAnsi"/>
      <w:b/>
      <w:i/>
      <w:iCs/>
    </w:rPr>
  </w:style>
  <w:style w:customStyle="1" w:styleId="20" w:type="character">
    <w:name w:val="标题 1 字符"/>
    <w:basedOn w:val="17"/>
    <w:link w:val="2"/>
    <w:qFormat/>
    <w:uiPriority w:val="9"/>
    <w:rPr>
      <w:rFonts w:asciiTheme="majorHAnsi" w:eastAsiaTheme="majorEastAsia" w:hAnsiTheme="majorHAnsi"/>
      <w:b/>
      <w:bCs/>
      <w:kern w:val="32"/>
      <w:sz w:val="32"/>
      <w:szCs w:val="32"/>
    </w:rPr>
  </w:style>
  <w:style w:customStyle="1" w:styleId="21" w:type="character">
    <w:name w:val="标题 2 字符"/>
    <w:basedOn w:val="17"/>
    <w:link w:val="3"/>
    <w:semiHidden/>
    <w:qFormat/>
    <w:uiPriority w:val="9"/>
    <w:rPr>
      <w:rFonts w:asciiTheme="majorHAnsi" w:eastAsiaTheme="majorEastAsia" w:hAnsiTheme="majorHAnsi"/>
      <w:b/>
      <w:bCs/>
      <w:i/>
      <w:iCs/>
      <w:sz w:val="28"/>
      <w:szCs w:val="28"/>
    </w:rPr>
  </w:style>
  <w:style w:customStyle="1" w:styleId="22" w:type="character">
    <w:name w:val="标题 3 字符"/>
    <w:basedOn w:val="17"/>
    <w:link w:val="4"/>
    <w:semiHidden/>
    <w:qFormat/>
    <w:uiPriority w:val="9"/>
    <w:rPr>
      <w:rFonts w:asciiTheme="majorHAnsi" w:eastAsiaTheme="majorEastAsia" w:hAnsiTheme="majorHAnsi"/>
      <w:b/>
      <w:bCs/>
      <w:sz w:val="26"/>
      <w:szCs w:val="26"/>
    </w:rPr>
  </w:style>
  <w:style w:customStyle="1" w:styleId="23" w:type="character">
    <w:name w:val="标题 4 字符"/>
    <w:basedOn w:val="17"/>
    <w:link w:val="5"/>
    <w:qFormat/>
    <w:uiPriority w:val="9"/>
    <w:rPr>
      <w:b/>
      <w:bCs/>
      <w:sz w:val="28"/>
      <w:szCs w:val="28"/>
    </w:rPr>
  </w:style>
  <w:style w:customStyle="1" w:styleId="24" w:type="character">
    <w:name w:val="标题 5 字符"/>
    <w:basedOn w:val="17"/>
    <w:link w:val="6"/>
    <w:semiHidden/>
    <w:qFormat/>
    <w:uiPriority w:val="9"/>
    <w:rPr>
      <w:b/>
      <w:bCs/>
      <w:i/>
      <w:iCs/>
      <w:sz w:val="26"/>
      <w:szCs w:val="26"/>
    </w:rPr>
  </w:style>
  <w:style w:customStyle="1" w:styleId="25" w:type="character">
    <w:name w:val="标题 6 字符"/>
    <w:basedOn w:val="17"/>
    <w:link w:val="7"/>
    <w:semiHidden/>
    <w:qFormat/>
    <w:uiPriority w:val="9"/>
    <w:rPr>
      <w:b/>
      <w:bCs/>
    </w:rPr>
  </w:style>
  <w:style w:customStyle="1" w:styleId="26" w:type="character">
    <w:name w:val="标题 7 字符"/>
    <w:basedOn w:val="17"/>
    <w:link w:val="8"/>
    <w:semiHidden/>
    <w:qFormat/>
    <w:uiPriority w:val="9"/>
    <w:rPr>
      <w:sz w:val="24"/>
      <w:szCs w:val="24"/>
    </w:rPr>
  </w:style>
  <w:style w:customStyle="1" w:styleId="27" w:type="character">
    <w:name w:val="标题 8 字符"/>
    <w:basedOn w:val="17"/>
    <w:link w:val="9"/>
    <w:semiHidden/>
    <w:qFormat/>
    <w:uiPriority w:val="9"/>
    <w:rPr>
      <w:i/>
      <w:iCs/>
      <w:sz w:val="24"/>
      <w:szCs w:val="24"/>
    </w:rPr>
  </w:style>
  <w:style w:customStyle="1" w:styleId="28" w:type="character">
    <w:name w:val="标题 9 字符"/>
    <w:basedOn w:val="17"/>
    <w:link w:val="10"/>
    <w:semiHidden/>
    <w:qFormat/>
    <w:uiPriority w:val="9"/>
    <w:rPr>
      <w:rFonts w:asciiTheme="majorHAnsi" w:eastAsiaTheme="majorEastAsia" w:hAnsiTheme="majorHAnsi"/>
    </w:rPr>
  </w:style>
  <w:style w:customStyle="1" w:styleId="29" w:type="character">
    <w:name w:val="标题 字符"/>
    <w:basedOn w:val="17"/>
    <w:link w:val="15"/>
    <w:qFormat/>
    <w:uiPriority w:val="10"/>
    <w:rPr>
      <w:rFonts w:asciiTheme="majorHAnsi" w:eastAsiaTheme="majorEastAsia" w:hAnsiTheme="majorHAnsi"/>
      <w:b/>
      <w:bCs/>
      <w:kern w:val="28"/>
      <w:sz w:val="32"/>
      <w:szCs w:val="32"/>
    </w:rPr>
  </w:style>
  <w:style w:customStyle="1" w:styleId="30" w:type="character">
    <w:name w:val="副标题 字符"/>
    <w:basedOn w:val="17"/>
    <w:link w:val="14"/>
    <w:qFormat/>
    <w:uiPriority w:val="11"/>
    <w:rPr>
      <w:rFonts w:asciiTheme="majorHAnsi" w:eastAsiaTheme="majorEastAsia" w:hAnsiTheme="majorHAnsi"/>
      <w:sz w:val="24"/>
      <w:szCs w:val="24"/>
    </w:rPr>
  </w:style>
  <w:style w:styleId="31" w:type="paragraph">
    <w:name w:val="No Spacing"/>
    <w:basedOn w:val="1"/>
    <w:qFormat/>
    <w:uiPriority w:val="1"/>
    <w:pPr>
      <w:widowControl/>
      <w:jc w:val="left"/>
    </w:pPr>
    <w:rPr>
      <w:rFonts w:asciiTheme="minorHAnsi" w:eastAsiaTheme="minorEastAsia" w:hAnsiTheme="minorHAnsi"/>
      <w:kern w:val="0"/>
      <w:sz w:val="24"/>
      <w:szCs w:val="32"/>
      <w:lang w:bidi="en-US" w:eastAsia="en-US"/>
    </w:rPr>
  </w:style>
  <w:style w:styleId="32" w:type="paragraph">
    <w:name w:val="List Paragraph"/>
    <w:basedOn w:val="1"/>
    <w:qFormat/>
    <w:uiPriority w:val="34"/>
    <w:pPr>
      <w:widowControl/>
      <w:ind w:left="720"/>
      <w:contextualSpacing/>
      <w:jc w:val="left"/>
    </w:pPr>
    <w:rPr>
      <w:rFonts w:asciiTheme="minorHAnsi" w:eastAsiaTheme="minorEastAsia" w:hAnsiTheme="minorHAnsi"/>
      <w:kern w:val="0"/>
      <w:sz w:val="24"/>
      <w:lang w:bidi="en-US" w:eastAsia="en-US"/>
    </w:rPr>
  </w:style>
  <w:style w:styleId="33" w:type="paragraph">
    <w:name w:val="Quote"/>
    <w:basedOn w:val="1"/>
    <w:next w:val="1"/>
    <w:link w:val="34"/>
    <w:qFormat/>
    <w:uiPriority w:val="29"/>
    <w:pPr>
      <w:widowControl/>
      <w:jc w:val="left"/>
    </w:pPr>
    <w:rPr>
      <w:rFonts w:asciiTheme="minorHAnsi" w:eastAsiaTheme="minorEastAsia" w:hAnsiTheme="minorHAnsi"/>
      <w:i/>
      <w:kern w:val="0"/>
      <w:sz w:val="24"/>
    </w:rPr>
  </w:style>
  <w:style w:customStyle="1" w:styleId="34" w:type="character">
    <w:name w:val="引用 字符"/>
    <w:basedOn w:val="17"/>
    <w:link w:val="33"/>
    <w:qFormat/>
    <w:uiPriority w:val="29"/>
    <w:rPr>
      <w:i/>
      <w:sz w:val="24"/>
      <w:szCs w:val="24"/>
    </w:rPr>
  </w:style>
  <w:style w:styleId="35" w:type="paragraph">
    <w:name w:val="Intense Quote"/>
    <w:basedOn w:val="1"/>
    <w:next w:val="1"/>
    <w:link w:val="36"/>
    <w:qFormat/>
    <w:uiPriority w:val="30"/>
    <w:pPr>
      <w:widowControl/>
      <w:ind w:left="720" w:right="720"/>
      <w:jc w:val="left"/>
    </w:pPr>
    <w:rPr>
      <w:rFonts w:asciiTheme="minorHAnsi" w:eastAsiaTheme="minorEastAsia" w:hAnsiTheme="minorHAnsi"/>
      <w:b/>
      <w:i/>
      <w:kern w:val="0"/>
      <w:sz w:val="24"/>
      <w:szCs w:val="22"/>
    </w:rPr>
  </w:style>
  <w:style w:customStyle="1" w:styleId="36" w:type="character">
    <w:name w:val="明显引用 字符"/>
    <w:basedOn w:val="17"/>
    <w:link w:val="35"/>
    <w:qFormat/>
    <w:uiPriority w:val="30"/>
    <w:rPr>
      <w:b/>
      <w:i/>
      <w:sz w:val="24"/>
    </w:rPr>
  </w:style>
  <w:style w:customStyle="1" w:styleId="37" w:type="character">
    <w:name w:val="不明显强调1"/>
    <w:qFormat/>
    <w:uiPriority w:val="19"/>
    <w:rPr>
      <w:i/>
      <w:color w:themeColor="text1" w:themeTint="A6" w:val="595959"/>
      <w14:textFill>
        <w14:solidFill>
          <w14:schemeClr w14:val="tx1">
            <w14:lumMod w14:val="65000"/>
            <w14:lumOff w14:val="35000"/>
          </w14:schemeClr>
        </w14:solidFill>
      </w14:textFill>
    </w:rPr>
  </w:style>
  <w:style w:customStyle="1" w:styleId="38" w:type="character">
    <w:name w:val="明显强调1"/>
    <w:basedOn w:val="17"/>
    <w:qFormat/>
    <w:uiPriority w:val="21"/>
    <w:rPr>
      <w:b/>
      <w:i/>
      <w:sz w:val="24"/>
      <w:szCs w:val="24"/>
      <w:u w:val="single"/>
    </w:rPr>
  </w:style>
  <w:style w:customStyle="1" w:styleId="39" w:type="character">
    <w:name w:val="不明显参考1"/>
    <w:basedOn w:val="17"/>
    <w:qFormat/>
    <w:uiPriority w:val="31"/>
    <w:rPr>
      <w:sz w:val="24"/>
      <w:szCs w:val="24"/>
      <w:u w:val="single"/>
    </w:rPr>
  </w:style>
  <w:style w:customStyle="1" w:styleId="40" w:type="character">
    <w:name w:val="明显参考1"/>
    <w:basedOn w:val="17"/>
    <w:qFormat/>
    <w:uiPriority w:val="32"/>
    <w:rPr>
      <w:b/>
      <w:sz w:val="24"/>
      <w:u w:val="single"/>
    </w:rPr>
  </w:style>
  <w:style w:customStyle="1" w:styleId="41" w:type="character">
    <w:name w:val="书籍标题1"/>
    <w:basedOn w:val="17"/>
    <w:qFormat/>
    <w:uiPriority w:val="33"/>
    <w:rPr>
      <w:rFonts w:asciiTheme="majorHAnsi" w:eastAsiaTheme="majorEastAsia" w:hAnsiTheme="majorHAnsi"/>
      <w:b/>
      <w:i/>
      <w:sz w:val="24"/>
      <w:szCs w:val="24"/>
    </w:rPr>
  </w:style>
  <w:style w:customStyle="1" w:styleId="42" w:type="paragraph">
    <w:name w:val="TOC 标题1"/>
    <w:basedOn w:val="2"/>
    <w:next w:val="1"/>
    <w:semiHidden/>
    <w:unhideWhenUsed/>
    <w:qFormat/>
    <w:uiPriority w:val="39"/>
    <w:pPr>
      <w:outlineLvl w:val="9"/>
    </w:pPr>
    <w:rPr>
      <w:lang w:bidi="en-US" w:eastAsia="en-US"/>
    </w:rPr>
  </w:style>
  <w:style w:customStyle="1" w:styleId="43" w:type="character">
    <w:name w:val="页眉 字符"/>
    <w:basedOn w:val="17"/>
    <w:link w:val="13"/>
    <w:qFormat/>
    <w:uiPriority w:val="99"/>
    <w:rPr>
      <w:rFonts w:ascii="Calibri" w:eastAsia="宋体" w:hAnsi="Calibri"/>
      <w:kern w:val="2"/>
      <w:sz w:val="18"/>
      <w:szCs w:val="18"/>
    </w:rPr>
  </w:style>
  <w:style w:customStyle="1" w:styleId="44" w:type="character">
    <w:name w:val="页脚 字符"/>
    <w:basedOn w:val="17"/>
    <w:link w:val="12"/>
    <w:qFormat/>
    <w:uiPriority w:val="99"/>
    <w:rPr>
      <w:rFonts w:ascii="Calibri" w:eastAsia="宋体" w:hAnsi="Calibri"/>
      <w:kern w:val="2"/>
      <w:sz w:val="18"/>
      <w:szCs w:val="18"/>
    </w:rPr>
  </w:style>
  <w:style w:customStyle="1" w:styleId="45" w:type="character">
    <w:name w:val="批注框文本 字符"/>
    <w:basedOn w:val="17"/>
    <w:link w:val="11"/>
    <w:semiHidden/>
    <w:qFormat/>
    <w:uiPriority w:val="99"/>
    <w:rPr>
      <w:rFonts w:ascii="Times New Roman" w:eastAsia="宋体" w:hAnsi="Times New Roman"/>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sj</cp:lastModifiedBy>
  <cp:lastPrinted>2018-12-31T10:56:00Z</cp:lastPrinted>
  <dcterms:modified xsi:type="dcterms:W3CDTF">2024-07-23T09:36:28Z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name="KSOProductBuildVer" pid="2">
    <vt:lpwstr>2052-11.8.2.10972</vt:lpwstr>
  </property>
  <property fmtid="{D5CDD505-2E9C-101B-9397-08002B2CF9AE}" name="ICV" pid="3">
    <vt:lpwstr>160D1BA1944349B08C48068401F6E698</vt:lpwstr>
  </property>
</Properties>
</file>