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hd w:val="clear" w:color="auto" w:fill="FFFFFF"/>
        <w:spacing w:before="0" w:beforeAutospacing="0" w:after="0" w:afterAutospacing="0" w:line="560" w:lineRule="exact"/>
        <w:jc w:val="center"/>
        <w:rPr>
          <w:rFonts w:hint="eastAsia" w:ascii="微软雅黑" w:hAnsi="微软雅黑" w:eastAsia="微软雅黑"/>
          <w:color w:val="000000"/>
          <w:sz w:val="44"/>
          <w:szCs w:val="44"/>
          <w:u w:val="none"/>
        </w:rPr>
      </w:pPr>
      <w:r>
        <w:rPr>
          <w:rFonts w:hint="eastAsia" w:ascii="微软雅黑" w:hAnsi="微软雅黑" w:eastAsia="微软雅黑"/>
          <w:color w:val="000000"/>
          <w:sz w:val="44"/>
          <w:szCs w:val="44"/>
          <w:u w:val="none"/>
        </w:rPr>
        <w:t>自治区高能级科技创新平台管理办法</w:t>
      </w:r>
    </w:p>
    <w:p>
      <w:pPr>
        <w:pStyle w:val="14"/>
        <w:shd w:val="clear" w:color="auto" w:fill="FFFFFF"/>
        <w:spacing w:before="0" w:beforeAutospacing="0" w:after="0" w:afterAutospacing="0" w:line="560" w:lineRule="exact"/>
        <w:jc w:val="center"/>
        <w:rPr>
          <w:rFonts w:hint="eastAsia" w:ascii="微软雅黑" w:hAnsi="微软雅黑" w:eastAsia="微软雅黑"/>
          <w:color w:val="000000"/>
          <w:sz w:val="44"/>
          <w:szCs w:val="44"/>
          <w:u w:val="none"/>
          <w:lang w:eastAsia="zh-CN"/>
        </w:rPr>
      </w:pPr>
      <w:r>
        <w:rPr>
          <w:rFonts w:hint="eastAsia" w:ascii="微软雅黑" w:hAnsi="微软雅黑" w:eastAsia="微软雅黑"/>
          <w:color w:val="000000"/>
          <w:sz w:val="44"/>
          <w:szCs w:val="44"/>
          <w:u w:val="none"/>
          <w:lang w:eastAsia="zh-CN"/>
        </w:rPr>
        <w:t>（试行）</w:t>
      </w:r>
    </w:p>
    <w:p>
      <w:pPr>
        <w:pStyle w:val="14"/>
        <w:shd w:val="clear" w:color="auto" w:fill="FFFFFF"/>
        <w:spacing w:before="0" w:beforeAutospacing="0" w:after="0" w:afterAutospacing="0" w:line="560" w:lineRule="exact"/>
        <w:jc w:val="center"/>
        <w:rPr>
          <w:rFonts w:ascii="Calibri" w:hAnsi="Calibri" w:cs="Calibri"/>
          <w:color w:val="000000"/>
          <w:sz w:val="21"/>
          <w:szCs w:val="21"/>
          <w:u w:val="none"/>
        </w:rPr>
      </w:pPr>
      <w:r>
        <w:rPr>
          <w:rFonts w:ascii="Calibri" w:hAnsi="Calibri" w:cs="Calibri"/>
          <w:color w:val="000000"/>
          <w:sz w:val="21"/>
          <w:szCs w:val="21"/>
          <w:u w:val="none"/>
        </w:rPr>
        <w:t> </w:t>
      </w:r>
    </w:p>
    <w:p>
      <w:pPr>
        <w:widowControl/>
        <w:shd w:val="clear" w:color="auto" w:fill="FFFFFF"/>
        <w:spacing w:line="560" w:lineRule="exact"/>
        <w:jc w:val="center"/>
        <w:rPr>
          <w:rFonts w:hint="eastAsia" w:ascii="黑体" w:hAnsi="黑体" w:eastAsia="黑体" w:cs="黑体"/>
          <w:color w:val="333333"/>
          <w:kern w:val="0"/>
          <w:sz w:val="32"/>
          <w:szCs w:val="32"/>
          <w:u w:val="none"/>
        </w:rPr>
      </w:pPr>
      <w:r>
        <w:rPr>
          <w:rFonts w:hint="eastAsia" w:ascii="黑体" w:hAnsi="黑体" w:eastAsia="黑体" w:cs="黑体"/>
          <w:color w:val="333333"/>
          <w:kern w:val="0"/>
          <w:sz w:val="32"/>
          <w:szCs w:val="32"/>
          <w:u w:val="none"/>
          <w:shd w:val="clear" w:color="auto" w:fill="FFFFFF"/>
        </w:rPr>
        <w:t>第一章　总  则</w:t>
      </w:r>
      <w:bookmarkStart w:id="17" w:name="_GoBack"/>
      <w:bookmarkEnd w:id="17"/>
    </w:p>
    <w:p>
      <w:pPr>
        <w:widowControl/>
        <w:shd w:val="clear" w:color="auto" w:fill="FFFFFF"/>
        <w:spacing w:after="0" w:line="560" w:lineRule="exact"/>
        <w:ind w:firstLine="642" w:firstLineChars="200"/>
        <w:rPr>
          <w:rFonts w:hint="eastAsia" w:ascii="仿宋_GB2312" w:hAnsi="仿宋" w:eastAsia="仿宋_GB2312" w:cs="仿宋"/>
          <w:color w:val="333333"/>
          <w:kern w:val="0"/>
          <w:sz w:val="32"/>
          <w:szCs w:val="32"/>
          <w:u w:val="none"/>
          <w:shd w:val="clear" w:color="auto" w:fill="FFFFFF"/>
        </w:rPr>
      </w:pPr>
      <w:r>
        <w:rPr>
          <w:rFonts w:hint="eastAsia" w:ascii="楷体" w:hAnsi="楷体" w:eastAsia="楷体" w:cs="楷体"/>
          <w:b/>
          <w:bCs/>
          <w:color w:val="333333"/>
          <w:kern w:val="0"/>
          <w:sz w:val="32"/>
          <w:szCs w:val="32"/>
          <w:u w:val="none"/>
          <w:shd w:val="clear" w:color="auto" w:fill="FFFFFF"/>
        </w:rPr>
        <w:t>第一条</w:t>
      </w:r>
      <w:r>
        <w:rPr>
          <w:rFonts w:hint="eastAsia" w:ascii="仿宋" w:hAnsi="仿宋" w:eastAsia="仿宋" w:cs="仿宋"/>
          <w:color w:val="333333"/>
          <w:kern w:val="0"/>
          <w:sz w:val="32"/>
          <w:szCs w:val="32"/>
          <w:u w:val="none"/>
          <w:shd w:val="clear" w:color="auto" w:fill="FFFFFF"/>
        </w:rPr>
        <w:t>　</w:t>
      </w:r>
      <w:r>
        <w:rPr>
          <w:rFonts w:hint="eastAsia" w:ascii="仿宋_GB2312" w:hAnsi="仿宋" w:eastAsia="仿宋_GB2312" w:cs="仿宋"/>
          <w:color w:val="333333"/>
          <w:kern w:val="0"/>
          <w:sz w:val="32"/>
          <w:szCs w:val="32"/>
          <w:u w:val="none"/>
          <w:shd w:val="clear" w:color="auto" w:fill="FFFFFF"/>
        </w:rPr>
        <w:t>为贯彻落实科技兴疆战略和自治区党委、政府关于建设区域科技创新中心的决策部署，强化战略科技力量，高起点、高标准、高水平推进自治区高能级科技创新平台建设、运行和管理，制定本办法。</w:t>
      </w:r>
    </w:p>
    <w:p>
      <w:pPr>
        <w:widowControl/>
        <w:shd w:val="clear" w:color="auto" w:fill="FFFFFF"/>
        <w:spacing w:after="0" w:line="560" w:lineRule="exact"/>
        <w:ind w:firstLine="642" w:firstLineChars="200"/>
        <w:rPr>
          <w:rFonts w:hint="eastAsia" w:ascii="仿宋_GB2312" w:hAnsi="仿宋" w:eastAsia="仿宋_GB2312" w:cs="仿宋"/>
          <w:color w:val="333333"/>
          <w:kern w:val="0"/>
          <w:sz w:val="32"/>
          <w:szCs w:val="32"/>
          <w:u w:val="none"/>
        </w:rPr>
      </w:pPr>
      <w:r>
        <w:rPr>
          <w:rFonts w:hint="eastAsia" w:ascii="楷体" w:hAnsi="楷体" w:eastAsia="楷体" w:cs="楷体"/>
          <w:b/>
          <w:bCs/>
          <w:color w:val="333333"/>
          <w:kern w:val="0"/>
          <w:sz w:val="32"/>
          <w:szCs w:val="32"/>
          <w:u w:val="none"/>
          <w:shd w:val="clear" w:color="auto" w:fill="FFFFFF"/>
        </w:rPr>
        <w:t>第二条　</w:t>
      </w:r>
      <w:r>
        <w:rPr>
          <w:rFonts w:hint="eastAsia" w:ascii="仿宋_GB2312" w:hAnsi="仿宋" w:eastAsia="仿宋_GB2312" w:cs="仿宋"/>
          <w:color w:val="333333"/>
          <w:kern w:val="0"/>
          <w:sz w:val="32"/>
          <w:szCs w:val="32"/>
          <w:u w:val="none"/>
          <w:shd w:val="clear" w:color="auto" w:fill="FFFFFF"/>
        </w:rPr>
        <w:t>本办法所指自治区高能级科技创新平台（以下简称“平台”）是指围绕国家和自治区重大战略需求、自治区十大产业集群发展和重点社会民生需求，由自治区统筹布局、财政重点支持的重大科技创新平台，包括新疆实验室等自治区人民政府“一事一议”建设的平台，以及自治区人民政府明确支持的其他平台等。</w:t>
      </w:r>
      <w:r>
        <w:rPr>
          <w:rFonts w:hint="eastAsia" w:ascii="仿宋_GB2312" w:hAnsi="仿宋" w:eastAsia="仿宋_GB2312" w:cs="仿宋"/>
          <w:color w:val="333333"/>
          <w:kern w:val="0"/>
          <w:sz w:val="32"/>
          <w:szCs w:val="32"/>
          <w:u w:val="none"/>
        </w:rPr>
        <w:t xml:space="preserve"> </w:t>
      </w:r>
    </w:p>
    <w:p>
      <w:pPr>
        <w:pStyle w:val="14"/>
        <w:shd w:val="clear" w:color="auto" w:fill="FFFFFF"/>
        <w:spacing w:before="0" w:beforeAutospacing="0" w:after="0" w:afterAutospacing="0" w:line="560" w:lineRule="exact"/>
        <w:ind w:firstLine="680"/>
        <w:jc w:val="both"/>
        <w:rPr>
          <w:rFonts w:hint="eastAsia" w:ascii="仿宋_GB2312" w:hAnsi="仿宋" w:eastAsia="仿宋_GB2312" w:cs="仿宋"/>
          <w:color w:val="333333"/>
          <w:sz w:val="32"/>
          <w:szCs w:val="32"/>
          <w:u w:val="none"/>
          <w:shd w:val="clear" w:color="auto" w:fill="FFFFFF"/>
        </w:rPr>
      </w:pPr>
      <w:r>
        <w:rPr>
          <w:rFonts w:hint="eastAsia" w:ascii="楷体" w:hAnsi="楷体" w:eastAsia="楷体" w:cs="楷体"/>
          <w:b/>
          <w:bCs/>
          <w:color w:val="333333"/>
          <w:sz w:val="32"/>
          <w:szCs w:val="32"/>
          <w:u w:val="none"/>
          <w:shd w:val="clear" w:color="auto" w:fill="FFFFFF"/>
        </w:rPr>
        <w:t xml:space="preserve">第三条  </w:t>
      </w:r>
      <w:r>
        <w:rPr>
          <w:rFonts w:hint="eastAsia" w:ascii="仿宋_GB2312" w:hAnsi="仿宋" w:eastAsia="仿宋_GB2312" w:cs="仿宋"/>
          <w:color w:val="333333"/>
          <w:sz w:val="32"/>
          <w:szCs w:val="32"/>
          <w:u w:val="none"/>
          <w:shd w:val="clear" w:color="auto" w:fill="FFFFFF"/>
        </w:rPr>
        <w:t>平台建设应当坚持“四个面向”和体制机制创新，按照“服务战略全局、强化科技引领、支撑产业发展”的原则，可以跨部门、跨地区、跨领域整合相关科研力量，汇聚国内外高端人才，开展有组织的科研攻关，突破关键核心技术，强化科技成果转化，打造自治区科技创新引领高地。</w:t>
      </w:r>
    </w:p>
    <w:p>
      <w:pPr>
        <w:widowControl/>
        <w:shd w:val="clear" w:color="auto" w:fill="FFFFFF"/>
        <w:spacing w:after="0" w:line="560" w:lineRule="exact"/>
        <w:jc w:val="center"/>
        <w:rPr>
          <w:rFonts w:hint="eastAsia" w:ascii="黑体" w:hAnsi="黑体" w:eastAsia="黑体" w:cs="黑体"/>
          <w:color w:val="333333"/>
          <w:kern w:val="0"/>
          <w:sz w:val="32"/>
          <w:szCs w:val="32"/>
          <w:u w:val="none"/>
          <w:shd w:val="clear" w:color="auto" w:fill="FFFFFF"/>
        </w:rPr>
      </w:pPr>
      <w:bookmarkStart w:id="0" w:name="_Hlk185864933"/>
      <w:r>
        <w:rPr>
          <w:rFonts w:hint="eastAsia" w:ascii="黑体" w:hAnsi="黑体" w:eastAsia="黑体" w:cs="黑体"/>
          <w:color w:val="333333"/>
          <w:kern w:val="0"/>
          <w:sz w:val="32"/>
          <w:szCs w:val="32"/>
          <w:u w:val="none"/>
          <w:shd w:val="clear" w:color="auto" w:fill="FFFFFF"/>
        </w:rPr>
        <w:t>第二章</w:t>
      </w:r>
      <w:bookmarkEnd w:id="0"/>
      <w:r>
        <w:rPr>
          <w:rFonts w:hint="eastAsia" w:ascii="黑体" w:hAnsi="黑体" w:eastAsia="黑体" w:cs="黑体"/>
          <w:color w:val="333333"/>
          <w:kern w:val="0"/>
          <w:sz w:val="32"/>
          <w:szCs w:val="32"/>
          <w:u w:val="none"/>
          <w:shd w:val="clear" w:color="auto" w:fill="FFFFFF"/>
        </w:rPr>
        <w:t xml:space="preserve">  布局建设</w:t>
      </w:r>
    </w:p>
    <w:p>
      <w:pPr>
        <w:pStyle w:val="14"/>
        <w:shd w:val="clear" w:color="auto" w:fill="FFFFFF"/>
        <w:spacing w:before="0" w:beforeAutospacing="0" w:after="0" w:afterAutospacing="0" w:line="560" w:lineRule="exact"/>
        <w:ind w:firstLine="642" w:firstLineChars="200"/>
        <w:jc w:val="both"/>
        <w:rPr>
          <w:rFonts w:hint="eastAsia" w:ascii="楷体" w:hAnsi="楷体" w:eastAsia="楷体" w:cs="楷体"/>
          <w:b/>
          <w:bCs/>
          <w:color w:val="333333"/>
          <w:sz w:val="32"/>
          <w:szCs w:val="32"/>
          <w:u w:val="none"/>
          <w:shd w:val="clear" w:color="auto" w:fill="FFFFFF"/>
        </w:rPr>
      </w:pPr>
      <w:r>
        <w:rPr>
          <w:rFonts w:hint="eastAsia" w:ascii="楷体" w:hAnsi="楷体" w:eastAsia="楷体" w:cs="楷体"/>
          <w:b/>
          <w:bCs/>
          <w:color w:val="333333"/>
          <w:sz w:val="32"/>
          <w:szCs w:val="32"/>
          <w:u w:val="none"/>
          <w:shd w:val="clear" w:color="auto" w:fill="FFFFFF"/>
        </w:rPr>
        <w:t xml:space="preserve">第四条  </w:t>
      </w:r>
      <w:r>
        <w:rPr>
          <w:rFonts w:hint="eastAsia" w:ascii="仿宋_GB2312" w:hAnsi="仿宋" w:eastAsia="仿宋_GB2312" w:cs="仿宋"/>
          <w:color w:val="333333"/>
          <w:sz w:val="32"/>
          <w:szCs w:val="32"/>
          <w:u w:val="none"/>
          <w:shd w:val="clear" w:color="auto" w:fill="FFFFFF"/>
        </w:rPr>
        <w:t>平台建设应坚持党的领导，政府主导、部门协同的原则，与自治区科技发展规划、重大战略需求、“一事一议”引进战略科学家等工作有效衔接，</w:t>
      </w:r>
      <w:r>
        <w:rPr>
          <w:rFonts w:hint="eastAsia" w:ascii="仿宋_GB2312" w:hAnsi="仿宋" w:eastAsia="仿宋_GB2312" w:cs="Calibri"/>
          <w:color w:val="000000"/>
          <w:sz w:val="32"/>
          <w:szCs w:val="32"/>
          <w:u w:val="none"/>
        </w:rPr>
        <w:t>成熟一个、启动一个</w:t>
      </w:r>
      <w:r>
        <w:rPr>
          <w:rFonts w:hint="eastAsia" w:ascii="仿宋_GB2312" w:hAnsi="仿宋" w:eastAsia="仿宋_GB2312" w:cs="仿宋"/>
          <w:color w:val="333333"/>
          <w:sz w:val="32"/>
          <w:szCs w:val="32"/>
          <w:u w:val="none"/>
          <w:shd w:val="clear" w:color="auto" w:fill="FFFFFF"/>
        </w:rPr>
        <w:t>。</w:t>
      </w:r>
    </w:p>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bookmarkStart w:id="1" w:name="_Hlk185864269"/>
      <w:r>
        <w:rPr>
          <w:rFonts w:hint="eastAsia" w:ascii="楷体" w:hAnsi="楷体" w:eastAsia="楷体" w:cs="楷体"/>
          <w:b/>
          <w:bCs/>
          <w:color w:val="333333"/>
          <w:sz w:val="32"/>
          <w:szCs w:val="32"/>
          <w:u w:val="none"/>
          <w:shd w:val="clear" w:color="auto" w:fill="FFFFFF"/>
        </w:rPr>
        <w:t xml:space="preserve">第五条  </w:t>
      </w:r>
      <w:r>
        <w:rPr>
          <w:rFonts w:hint="eastAsia" w:ascii="仿宋_GB2312" w:hAnsi="仿宋" w:eastAsia="仿宋_GB2312" w:cs="仿宋"/>
          <w:color w:val="333333"/>
          <w:sz w:val="32"/>
          <w:szCs w:val="32"/>
          <w:u w:val="none"/>
          <w:shd w:val="clear" w:color="auto" w:fill="FFFFFF"/>
        </w:rPr>
        <w:t>平台建设可依托高</w:t>
      </w:r>
      <w:r>
        <w:rPr>
          <w:rFonts w:hint="eastAsia" w:ascii="仿宋_GB2312" w:hAnsi="仿宋" w:eastAsia="仿宋_GB2312" w:cs="Calibri"/>
          <w:color w:val="000000"/>
          <w:sz w:val="32"/>
          <w:szCs w:val="32"/>
          <w:u w:val="none"/>
        </w:rPr>
        <w:t>校、科研机构、企业等创新主体建设，或由地方政府主导推动建设。</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第六条 </w:t>
      </w:r>
      <w:bookmarkEnd w:id="1"/>
      <w:r>
        <w:rPr>
          <w:rFonts w:hint="eastAsia" w:ascii="楷体" w:hAnsi="楷体" w:eastAsia="楷体" w:cs="楷体"/>
          <w:b/>
          <w:bCs/>
          <w:color w:val="333333"/>
          <w:sz w:val="32"/>
          <w:szCs w:val="32"/>
          <w:u w:val="none"/>
          <w:shd w:val="clear" w:color="auto" w:fill="FFFFFF"/>
        </w:rPr>
        <w:t xml:space="preserve"> </w:t>
      </w:r>
      <w:r>
        <w:rPr>
          <w:rFonts w:hint="eastAsia" w:ascii="仿宋_GB2312" w:hAnsi="仿宋" w:eastAsia="仿宋_GB2312" w:cs="Calibri"/>
          <w:color w:val="000000"/>
          <w:sz w:val="32"/>
          <w:szCs w:val="32"/>
          <w:u w:val="none"/>
        </w:rPr>
        <w:t>平台建设应具备以下基本条件：</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仿宋_GB2312" w:hAnsi="仿宋" w:eastAsia="仿宋_GB2312" w:cs="Calibri"/>
          <w:color w:val="000000"/>
          <w:sz w:val="32"/>
          <w:szCs w:val="32"/>
          <w:u w:val="none"/>
        </w:rPr>
        <w:t>1.研究方向和领域具有明显的优势或特色，符合国家和自治区重大战略需求。具备承担自治区级及以上重大科研项目、开展高水平科研合作、完成应急响应研发任务及建设重大科技基础设施的能力。</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仿宋_GB2312" w:hAnsi="仿宋" w:eastAsia="仿宋_GB2312" w:cs="Calibri"/>
          <w:color w:val="000000"/>
          <w:sz w:val="32"/>
          <w:szCs w:val="32"/>
          <w:u w:val="none"/>
        </w:rPr>
        <w:t>2.聚集国内外优秀创新人才资源，拥有稳定的高水平科研队伍，有一批国内外同行认可的</w:t>
      </w:r>
      <w:r>
        <w:rPr>
          <w:rFonts w:ascii="仿宋_GB2312" w:hAnsi="仿宋" w:eastAsia="仿宋_GB2312" w:cs="Calibri"/>
          <w:color w:val="000000"/>
          <w:sz w:val="32"/>
          <w:szCs w:val="32"/>
          <w:u w:val="none"/>
        </w:rPr>
        <w:t>院士</w:t>
      </w:r>
      <w:r>
        <w:rPr>
          <w:rFonts w:hint="eastAsia" w:ascii="仿宋_GB2312" w:hAnsi="仿宋" w:eastAsia="仿宋_GB2312" w:cs="Calibri"/>
          <w:color w:val="000000"/>
          <w:sz w:val="32"/>
          <w:szCs w:val="32"/>
          <w:u w:val="none"/>
        </w:rPr>
        <w:t>等战略科学家、学科带头人和研究团队、技术骨干。</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仿宋_GB2312" w:hAnsi="仿宋" w:eastAsia="仿宋_GB2312" w:cs="Calibri"/>
          <w:color w:val="000000"/>
          <w:sz w:val="32"/>
          <w:szCs w:val="32"/>
          <w:u w:val="none"/>
        </w:rPr>
        <w:t>3.具备国内一流的科学研究条件，符合大型综合性、开放型科学研究基地的特征。</w:t>
      </w:r>
    </w:p>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bookmarkStart w:id="2" w:name="_Hlk186912455"/>
      <w:r>
        <w:rPr>
          <w:rFonts w:hint="eastAsia" w:ascii="楷体" w:hAnsi="楷体" w:eastAsia="楷体" w:cs="楷体"/>
          <w:b/>
          <w:bCs/>
          <w:color w:val="333333"/>
          <w:sz w:val="32"/>
          <w:szCs w:val="32"/>
          <w:u w:val="none"/>
          <w:shd w:val="clear" w:color="auto" w:fill="FFFFFF"/>
        </w:rPr>
        <w:t xml:space="preserve">第七条  </w:t>
      </w:r>
      <w:r>
        <w:rPr>
          <w:rFonts w:hint="eastAsia" w:ascii="仿宋_GB2312" w:hAnsi="仿宋" w:eastAsia="仿宋_GB2312" w:cs="Calibri"/>
          <w:color w:val="000000"/>
          <w:sz w:val="32"/>
          <w:szCs w:val="32"/>
          <w:u w:val="none"/>
        </w:rPr>
        <w:t>平台建设程序如下：</w:t>
      </w:r>
    </w:p>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r>
        <w:rPr>
          <w:rFonts w:hint="eastAsia" w:ascii="仿宋_GB2312" w:hAnsi="仿宋" w:eastAsia="仿宋_GB2312" w:cs="Calibri"/>
          <w:color w:val="000000"/>
          <w:sz w:val="32"/>
          <w:szCs w:val="32"/>
          <w:u w:val="none"/>
        </w:rPr>
        <w:t>由平台建设依托单位或者主导建设的地方政府，编制建设方案，提出建设申请。</w:t>
      </w:r>
    </w:p>
    <w:bookmarkEnd w:id="2"/>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r>
        <w:rPr>
          <w:rFonts w:hint="eastAsia" w:ascii="仿宋_GB2312" w:hAnsi="仿宋" w:eastAsia="仿宋_GB2312" w:cs="Calibri"/>
          <w:color w:val="000000"/>
          <w:sz w:val="32"/>
          <w:szCs w:val="32"/>
          <w:u w:val="none"/>
        </w:rPr>
        <w:t>自治区党委科技委办公室（以下简称科技办）组织相关部门对建设方案进行论证，对达到建设条件的平台，经政府审议通过，</w:t>
      </w:r>
      <w:r>
        <w:rPr>
          <w:rFonts w:hint="eastAsia" w:ascii="仿宋_GB2312" w:hAnsi="仿宋" w:eastAsia="仿宋_GB2312" w:cs="Calibri"/>
          <w:color w:val="000000"/>
          <w:sz w:val="32"/>
          <w:szCs w:val="32"/>
          <w:u w:val="none"/>
        </w:rPr>
        <w:t>按程序报自治区党委科技委同意后启动建设。</w:t>
      </w:r>
    </w:p>
    <w:p>
      <w:pPr>
        <w:pStyle w:val="14"/>
        <w:shd w:val="clear" w:color="auto" w:fill="FFFFFF"/>
        <w:spacing w:before="0" w:beforeAutospacing="0" w:after="0" w:afterAutospacing="0" w:line="560" w:lineRule="exact"/>
        <w:jc w:val="center"/>
        <w:rPr>
          <w:rFonts w:ascii="Calibri" w:hAnsi="Calibri" w:cs="Calibri"/>
          <w:color w:val="000000"/>
          <w:sz w:val="21"/>
          <w:szCs w:val="21"/>
          <w:u w:val="none"/>
        </w:rPr>
      </w:pPr>
      <w:r>
        <w:rPr>
          <w:rFonts w:hint="eastAsia" w:ascii="黑体" w:hAnsi="黑体" w:eastAsia="黑体" w:cs="黑体"/>
          <w:color w:val="333333"/>
          <w:sz w:val="32"/>
          <w:szCs w:val="32"/>
          <w:u w:val="none"/>
          <w:shd w:val="clear" w:color="auto" w:fill="FFFFFF"/>
        </w:rPr>
        <w:t xml:space="preserve">第三章  </w:t>
      </w:r>
      <w:r>
        <w:rPr>
          <w:rFonts w:hint="eastAsia" w:ascii="方正黑体_GBK" w:hAnsi="Calibri" w:eastAsia="方正黑体_GBK" w:cs="Calibri"/>
          <w:color w:val="000000"/>
          <w:sz w:val="32"/>
          <w:szCs w:val="32"/>
          <w:u w:val="none"/>
        </w:rPr>
        <w:t>运行机制</w:t>
      </w:r>
    </w:p>
    <w:p>
      <w:pPr>
        <w:pStyle w:val="14"/>
        <w:shd w:val="clear" w:color="auto" w:fill="FFFFFF"/>
        <w:spacing w:before="0" w:beforeAutospacing="0" w:after="0" w:afterAutospacing="0" w:line="560" w:lineRule="exact"/>
        <w:ind w:firstLine="642" w:firstLineChars="200"/>
        <w:jc w:val="both"/>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第八条  </w:t>
      </w:r>
      <w:r>
        <w:rPr>
          <w:rFonts w:hint="eastAsia" w:ascii="仿宋_GB2312" w:hAnsi="仿宋" w:eastAsia="仿宋_GB2312" w:cs="Calibri"/>
          <w:color w:val="000000"/>
          <w:sz w:val="32"/>
          <w:szCs w:val="32"/>
          <w:u w:val="none"/>
        </w:rPr>
        <w:t>平台实行任务导向、交叉融合、协同攻关、开放共享的新型运行机制，原则上独立法人实体化运行。</w:t>
      </w:r>
    </w:p>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bookmarkStart w:id="3" w:name="_Hlk185866029"/>
      <w:r>
        <w:rPr>
          <w:rFonts w:hint="eastAsia" w:ascii="楷体" w:hAnsi="楷体" w:eastAsia="楷体" w:cs="楷体"/>
          <w:b/>
          <w:bCs/>
          <w:color w:val="333333"/>
          <w:sz w:val="32"/>
          <w:szCs w:val="32"/>
          <w:u w:val="none"/>
          <w:shd w:val="clear" w:color="auto" w:fill="FFFFFF"/>
        </w:rPr>
        <w:t xml:space="preserve">第九条  </w:t>
      </w:r>
      <w:bookmarkEnd w:id="3"/>
      <w:bookmarkStart w:id="4" w:name="_Hlk185866044"/>
      <w:r>
        <w:rPr>
          <w:rFonts w:hint="eastAsia" w:ascii="仿宋_GB2312" w:hAnsi="仿宋" w:eastAsia="仿宋_GB2312" w:cs="Calibri"/>
          <w:color w:val="000000"/>
          <w:sz w:val="32"/>
          <w:szCs w:val="32"/>
          <w:u w:val="none"/>
        </w:rPr>
        <w:t>平台根据需要</w:t>
      </w:r>
      <w:bookmarkEnd w:id="4"/>
      <w:r>
        <w:rPr>
          <w:rFonts w:hint="eastAsia" w:ascii="仿宋_GB2312" w:hAnsi="仿宋" w:eastAsia="仿宋_GB2312" w:cs="Calibri"/>
          <w:color w:val="000000"/>
          <w:sz w:val="32"/>
          <w:szCs w:val="32"/>
          <w:u w:val="none"/>
        </w:rPr>
        <w:t>可成立理事会。理事会是平台的决策机构，负责审议平台发展战略、机构设置、负责人提名、经费预决算等重大事项。</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bookmarkStart w:id="5" w:name="_Hlk185866070"/>
      <w:r>
        <w:rPr>
          <w:rFonts w:hint="eastAsia" w:ascii="楷体" w:hAnsi="楷体" w:eastAsia="楷体" w:cs="楷体"/>
          <w:b/>
          <w:bCs/>
          <w:color w:val="333333"/>
          <w:sz w:val="32"/>
          <w:szCs w:val="32"/>
          <w:u w:val="none"/>
          <w:shd w:val="clear" w:color="auto" w:fill="FFFFFF"/>
        </w:rPr>
        <w:t xml:space="preserve">第十条  </w:t>
      </w:r>
      <w:bookmarkEnd w:id="5"/>
      <w:r>
        <w:rPr>
          <w:rFonts w:hint="eastAsia" w:ascii="仿宋_GB2312" w:hAnsi="仿宋" w:eastAsia="仿宋_GB2312" w:cs="Calibri"/>
          <w:color w:val="000000"/>
          <w:sz w:val="32"/>
          <w:szCs w:val="32"/>
          <w:u w:val="none"/>
        </w:rPr>
        <w:t>平台一般应设立学术委员会。学术委员会是平台的学术研究指导和咨询机构，负责对平台科研目标、研究方向、技术路线、团队建设、重大项目等提供咨询和指导。学术委员会主任由相关领域著名科学家担任。</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bookmarkStart w:id="6" w:name="_Hlk185866135"/>
      <w:r>
        <w:rPr>
          <w:rFonts w:hint="eastAsia" w:ascii="楷体" w:hAnsi="楷体" w:eastAsia="楷体" w:cs="楷体"/>
          <w:b/>
          <w:bCs/>
          <w:color w:val="333333"/>
          <w:sz w:val="32"/>
          <w:szCs w:val="32"/>
          <w:u w:val="none"/>
          <w:shd w:val="clear" w:color="auto" w:fill="FFFFFF"/>
        </w:rPr>
        <w:t xml:space="preserve">第十一条  </w:t>
      </w:r>
      <w:bookmarkEnd w:id="6"/>
      <w:r>
        <w:rPr>
          <w:rFonts w:hint="eastAsia" w:ascii="仿宋_GB2312" w:hAnsi="仿宋" w:eastAsia="仿宋_GB2312" w:cs="Calibri"/>
          <w:color w:val="000000"/>
          <w:sz w:val="32"/>
          <w:szCs w:val="32"/>
          <w:u w:val="none"/>
        </w:rPr>
        <w:t>实行</w:t>
      </w:r>
      <w:bookmarkStart w:id="7" w:name="_Hlk185866114"/>
      <w:r>
        <w:rPr>
          <w:rFonts w:hint="eastAsia" w:ascii="仿宋_GB2312" w:hAnsi="仿宋" w:eastAsia="仿宋_GB2312" w:cs="Calibri"/>
          <w:color w:val="000000"/>
          <w:sz w:val="32"/>
          <w:szCs w:val="32"/>
          <w:u w:val="none"/>
        </w:rPr>
        <w:t>主任（院长）</w:t>
      </w:r>
      <w:bookmarkEnd w:id="7"/>
      <w:r>
        <w:rPr>
          <w:rFonts w:hint="eastAsia" w:ascii="仿宋_GB2312" w:hAnsi="仿宋" w:eastAsia="仿宋_GB2312" w:cs="Calibri"/>
          <w:color w:val="000000"/>
          <w:sz w:val="32"/>
          <w:szCs w:val="32"/>
          <w:u w:val="none"/>
        </w:rPr>
        <w:t>负责制。主任（院长）作为法人代表，受理事会委托负责平台全面管理工作，依据章程和有关制度自主行使人事、财务、科研组织等重要决定权。主任（院长）由本领域内具有较高影响，且拥有强烈的责任意识、创新意识和统筹协调能力的战略科学家担任。</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bookmarkStart w:id="8" w:name="_Hlk185866182"/>
      <w:r>
        <w:rPr>
          <w:rFonts w:hint="eastAsia" w:ascii="楷体" w:hAnsi="楷体" w:eastAsia="楷体" w:cs="楷体"/>
          <w:b/>
          <w:bCs/>
          <w:color w:val="333333"/>
          <w:sz w:val="32"/>
          <w:szCs w:val="32"/>
          <w:u w:val="none"/>
          <w:shd w:val="clear" w:color="auto" w:fill="FFFFFF"/>
        </w:rPr>
        <w:t xml:space="preserve">第十二条  </w:t>
      </w:r>
      <w:bookmarkEnd w:id="8"/>
      <w:r>
        <w:rPr>
          <w:rFonts w:hint="eastAsia" w:ascii="仿宋_GB2312" w:hAnsi="仿宋" w:eastAsia="仿宋_GB2312" w:cs="Calibri"/>
          <w:color w:val="000000"/>
          <w:sz w:val="32"/>
          <w:szCs w:val="32"/>
          <w:u w:val="none"/>
        </w:rPr>
        <w:t>建立“开放、流动、竞争、协同”的人才机制。采取全聘、双聘、临聘等多元化人员管理模式等，推动</w:t>
      </w:r>
      <w:r>
        <w:rPr>
          <w:rFonts w:hint="eastAsia" w:ascii="方正仿宋_GBK" w:hAnsi="方正仿宋_GBK" w:eastAsia="方正仿宋_GBK" w:cs="方正仿宋_GBK"/>
          <w:sz w:val="32"/>
          <w:szCs w:val="32"/>
          <w:u w:val="none"/>
        </w:rPr>
        <w:t>整建制引进高层次人才团队，</w:t>
      </w:r>
      <w:r>
        <w:rPr>
          <w:rFonts w:hint="eastAsia" w:ascii="仿宋_GB2312" w:hAnsi="仿宋" w:eastAsia="仿宋_GB2312" w:cs="Calibri"/>
          <w:color w:val="000000"/>
          <w:sz w:val="32"/>
          <w:szCs w:val="32"/>
          <w:u w:val="none"/>
        </w:rPr>
        <w:t>通过实施重大科研任务集聚引进一批活跃在国内外学术前沿的战略科学家、学科带头人，建立层次结构合理的科研创新团队。</w:t>
      </w:r>
      <w:bookmarkStart w:id="9" w:name="_Hlk186726668"/>
    </w:p>
    <w:bookmarkEnd w:id="9"/>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r>
        <w:rPr>
          <w:rFonts w:hint="eastAsia" w:ascii="楷体" w:hAnsi="楷体" w:eastAsia="楷体" w:cs="楷体"/>
          <w:b/>
          <w:bCs/>
          <w:color w:val="333333"/>
          <w:sz w:val="32"/>
          <w:szCs w:val="32"/>
          <w:u w:val="none"/>
          <w:shd w:val="clear" w:color="auto" w:fill="FFFFFF"/>
        </w:rPr>
        <w:t xml:space="preserve">第十三条  </w:t>
      </w:r>
      <w:r>
        <w:rPr>
          <w:rFonts w:hint="eastAsia" w:ascii="仿宋_GB2312" w:hAnsi="仿宋" w:eastAsia="仿宋_GB2312" w:cs="Calibri"/>
          <w:color w:val="000000"/>
          <w:sz w:val="32"/>
          <w:szCs w:val="32"/>
          <w:u w:val="none"/>
        </w:rPr>
        <w:t>建立多元协同创新发展机制。以需求为导向，以平台为核心，聚焦研究方向，以实施重大科研任务为牵引，联合区内外高校、院所和企业等各类创新主体，强化顶层设计、系统布局、跨界集成，组织产业链上下游联合攻关，推动产学研用深度融合。</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第十四条  </w:t>
      </w:r>
      <w:r>
        <w:rPr>
          <w:rFonts w:hint="eastAsia" w:ascii="仿宋_GB2312" w:hAnsi="仿宋" w:eastAsia="仿宋_GB2312" w:cs="Calibri"/>
          <w:color w:val="000000"/>
          <w:sz w:val="32"/>
          <w:szCs w:val="32"/>
          <w:u w:val="none"/>
        </w:rPr>
        <w:t>建立需求导向的科技成果转化机制。平台建设应注重成果的转化落地，加强对科技成果转化的统一管理、组织、协调和服务，强化与企业合作融通，打通从基础研究、应用研究、成果转移转化到产业化发展的全链条。建立与绩效挂钩的成果转化激励机制，推动创新链上游科研成果向下扩展延伸和转化，促进科技创新与产业创新融合发展。</w:t>
      </w:r>
    </w:p>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r>
        <w:rPr>
          <w:rFonts w:hint="eastAsia" w:ascii="楷体" w:hAnsi="楷体" w:eastAsia="楷体" w:cs="楷体"/>
          <w:b/>
          <w:bCs/>
          <w:color w:val="333333"/>
          <w:sz w:val="32"/>
          <w:szCs w:val="32"/>
          <w:u w:val="none"/>
          <w:shd w:val="clear" w:color="auto" w:fill="FFFFFF"/>
        </w:rPr>
        <w:t xml:space="preserve">第十五条  </w:t>
      </w:r>
      <w:r>
        <w:rPr>
          <w:rFonts w:hint="eastAsia" w:ascii="仿宋_GB2312" w:hAnsi="仿宋" w:eastAsia="仿宋_GB2312" w:cs="Calibri"/>
          <w:color w:val="000000"/>
          <w:sz w:val="32"/>
          <w:szCs w:val="32"/>
          <w:u w:val="none"/>
        </w:rPr>
        <w:t>建立完善的知识产权共享机制。坚持共建共享原则，建立平台内部的知识产权管理制度，明确平台、合作共建单位、科研人员等各方在知识产权保护、运用中的责任和义务，以及知识产权的权利归属、使用和利益分配。</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第十六条  </w:t>
      </w:r>
      <w:r>
        <w:rPr>
          <w:rFonts w:hint="eastAsia" w:ascii="仿宋_GB2312" w:hAnsi="仿宋" w:eastAsia="仿宋_GB2312" w:cs="Calibri"/>
          <w:color w:val="000000"/>
          <w:sz w:val="32"/>
          <w:szCs w:val="32"/>
          <w:u w:val="none"/>
        </w:rPr>
        <w:t>建立科研设施的共建共享机制。大力推进平台与国内外具有创新优势的高校、科研院所、重大科学装置、企业以及科技创新机构开展科研基础设施的共建共享。鼓励企业和社会力量以多种方式参与共建重大科研基础设施，组建专业的仪器设备服务机构，促进科学仪器设备使用的社会化服务。</w:t>
      </w:r>
    </w:p>
    <w:p>
      <w:pPr>
        <w:pStyle w:val="14"/>
        <w:shd w:val="clear" w:color="auto" w:fill="FFFFFF"/>
        <w:spacing w:before="0" w:beforeAutospacing="0" w:after="0" w:afterAutospacing="0" w:line="560" w:lineRule="exact"/>
        <w:jc w:val="center"/>
        <w:rPr>
          <w:rFonts w:ascii="Calibri" w:hAnsi="Calibri" w:cs="Calibri"/>
          <w:color w:val="000000"/>
          <w:sz w:val="21"/>
          <w:szCs w:val="21"/>
          <w:u w:val="none"/>
        </w:rPr>
      </w:pPr>
      <w:r>
        <w:rPr>
          <w:rFonts w:hint="eastAsia" w:ascii="方正黑体_GBK" w:hAnsi="Calibri" w:eastAsia="方正黑体_GBK" w:cs="Calibri"/>
          <w:color w:val="000000"/>
          <w:sz w:val="32"/>
          <w:szCs w:val="32"/>
          <w:u w:val="none"/>
        </w:rPr>
        <w:t>第四章  组织保障</w:t>
      </w:r>
    </w:p>
    <w:p>
      <w:pPr>
        <w:pStyle w:val="14"/>
        <w:shd w:val="clear" w:color="auto" w:fill="FFFFFF"/>
        <w:spacing w:before="0" w:beforeAutospacing="0" w:after="0" w:afterAutospacing="0" w:line="560" w:lineRule="exact"/>
        <w:ind w:firstLine="680"/>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第十七条  </w:t>
      </w:r>
      <w:r>
        <w:rPr>
          <w:rFonts w:hint="eastAsia" w:ascii="仿宋_GB2312" w:hAnsi="仿宋" w:eastAsia="仿宋_GB2312" w:cs="Calibri"/>
          <w:color w:val="000000"/>
          <w:sz w:val="32"/>
          <w:szCs w:val="32"/>
          <w:u w:val="none"/>
        </w:rPr>
        <w:t>科技办负责组织制定完善相关政策文件等，协调落实支持政策措施等；根据平台建设重点领域，会同相关部门指导平台聚焦战略需求，做好建设方案论证、管理运行、指导支持和服务保障等工作。</w:t>
      </w:r>
    </w:p>
    <w:p>
      <w:pPr>
        <w:pStyle w:val="14"/>
        <w:shd w:val="clear" w:color="auto" w:fill="FFFFFF"/>
        <w:spacing w:before="0" w:beforeAutospacing="0" w:after="0" w:afterAutospacing="0" w:line="560" w:lineRule="exact"/>
        <w:ind w:firstLine="680"/>
        <w:jc w:val="both"/>
        <w:rPr>
          <w:rFonts w:hint="eastAsia" w:ascii="仿宋_GB2312" w:hAnsi="仿宋" w:eastAsia="仿宋_GB2312" w:cs="Calibri"/>
          <w:color w:val="000000"/>
          <w:sz w:val="32"/>
          <w:szCs w:val="32"/>
          <w:u w:val="none"/>
        </w:rPr>
      </w:pPr>
      <w:r>
        <w:rPr>
          <w:rFonts w:hint="eastAsia" w:ascii="楷体" w:hAnsi="楷体" w:eastAsia="楷体" w:cs="楷体"/>
          <w:b/>
          <w:bCs/>
          <w:color w:val="333333"/>
          <w:sz w:val="32"/>
          <w:szCs w:val="32"/>
          <w:u w:val="none"/>
          <w:shd w:val="clear" w:color="auto" w:fill="FFFFFF"/>
        </w:rPr>
        <w:t xml:space="preserve">第十八条  </w:t>
      </w:r>
      <w:r>
        <w:rPr>
          <w:rFonts w:hint="eastAsia" w:ascii="仿宋_GB2312" w:hAnsi="仿宋" w:eastAsia="仿宋_GB2312" w:cs="Calibri"/>
          <w:color w:val="000000"/>
          <w:sz w:val="32"/>
          <w:szCs w:val="32"/>
          <w:u w:val="none"/>
        </w:rPr>
        <w:t>自治区各相关部门积极发挥作用、强化政策协同，统筹行业内优势创新力量积极支持和参与平台建设，做好机构设立、经费投入、人才引进、金融支持等相关工作。所在地政府做好基础设施建设、经费投入、政策配套、条件保障等工作。允许平台开展先行先试政策试点，探索适合我区特点的政策保障体系。</w:t>
      </w:r>
      <w:bookmarkStart w:id="10" w:name="_Hlk185866545"/>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第十九条  </w:t>
      </w:r>
      <w:bookmarkEnd w:id="10"/>
      <w:r>
        <w:rPr>
          <w:rFonts w:hint="eastAsia" w:ascii="仿宋_GB2312" w:hAnsi="仿宋" w:eastAsia="仿宋_GB2312" w:cs="Calibri"/>
          <w:color w:val="000000"/>
          <w:sz w:val="32"/>
          <w:szCs w:val="32"/>
          <w:u w:val="none"/>
        </w:rPr>
        <w:t>平台的建设和运行，依据审议同意的建设方案由财政给予一定开办费、运行费和研究经费支持。鼓励引导社会资本、企业积极参与平台的建设和运营。</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bookmarkStart w:id="11" w:name="_Hlk185866553"/>
      <w:r>
        <w:rPr>
          <w:rFonts w:hint="eastAsia" w:ascii="楷体" w:hAnsi="楷体" w:eastAsia="楷体" w:cs="楷体"/>
          <w:b/>
          <w:bCs/>
          <w:color w:val="333333"/>
          <w:sz w:val="32"/>
          <w:szCs w:val="32"/>
          <w:u w:val="none"/>
          <w:shd w:val="clear" w:color="auto" w:fill="FFFFFF"/>
        </w:rPr>
        <w:t xml:space="preserve">第二十条  </w:t>
      </w:r>
      <w:bookmarkEnd w:id="11"/>
      <w:r>
        <w:rPr>
          <w:rFonts w:hint="eastAsia" w:ascii="仿宋_GB2312" w:hAnsi="仿宋" w:eastAsia="仿宋_GB2312" w:cs="Calibri"/>
          <w:color w:val="000000"/>
          <w:sz w:val="32"/>
          <w:szCs w:val="32"/>
          <w:u w:val="none"/>
        </w:rPr>
        <w:t>强化、发挥战略科技力量作用，积极谋划、争取国家重大科研任务。自治区重大创新任务可采取定向委托方式由相关平台承担，开展有组织有目标的科研攻关。支持平台对接产业链链主企业、骨干企业等行业龙头企业等，承担相关横向课题。</w:t>
      </w:r>
    </w:p>
    <w:p>
      <w:pPr>
        <w:pStyle w:val="14"/>
        <w:shd w:val="clear" w:color="auto" w:fill="FFFFFF"/>
        <w:spacing w:before="0" w:beforeAutospacing="0" w:after="0" w:afterAutospacing="0" w:line="560" w:lineRule="exact"/>
        <w:ind w:firstLine="680"/>
        <w:jc w:val="both"/>
        <w:rPr>
          <w:rFonts w:ascii="Calibri" w:hAnsi="Calibri" w:cs="Calibri"/>
          <w:color w:val="000000"/>
          <w:sz w:val="21"/>
          <w:szCs w:val="21"/>
          <w:u w:val="none"/>
        </w:rPr>
      </w:pPr>
      <w:r>
        <w:rPr>
          <w:rFonts w:hint="eastAsia" w:ascii="楷体" w:hAnsi="楷体" w:eastAsia="楷体" w:cs="楷体"/>
          <w:b/>
          <w:bCs/>
          <w:color w:val="333333"/>
          <w:sz w:val="32"/>
          <w:szCs w:val="32"/>
          <w:u w:val="none"/>
          <w:shd w:val="clear" w:color="auto" w:fill="FFFFFF"/>
        </w:rPr>
        <w:t xml:space="preserve">第二十一条  </w:t>
      </w:r>
      <w:r>
        <w:rPr>
          <w:rFonts w:hint="eastAsia" w:ascii="仿宋_GB2312" w:hAnsi="仿宋" w:eastAsia="仿宋_GB2312" w:cs="Calibri"/>
          <w:color w:val="000000"/>
          <w:sz w:val="32"/>
          <w:szCs w:val="32"/>
          <w:u w:val="none"/>
        </w:rPr>
        <w:t>强化人才激励，学习借鉴国家实验室薪酬分配制度，探索实行与科研人员科研能力和贡献相匹配的具有竞争力的薪酬分配制度。</w:t>
      </w:r>
      <w:r>
        <w:rPr>
          <w:rFonts w:hint="eastAsia" w:ascii="仿宋_GB2312" w:hAnsi="仿宋_GB2312" w:eastAsia="仿宋_GB2312" w:cs="仿宋_GB2312"/>
          <w:color w:val="000000"/>
          <w:kern w:val="0"/>
          <w:sz w:val="32"/>
          <w:szCs w:val="32"/>
          <w:u w:val="none"/>
          <w:lang w:val="en-US" w:eastAsia="zh-CN" w:bidi="ar-SA"/>
        </w:rPr>
        <w:t>支持用好自治区重大引才政策，通过重点人才计划项目，体系化、整建制培养引进战略学家、一流科技领军人才和创新团队等高层次急需紧缺人才。</w:t>
      </w:r>
      <w:r>
        <w:rPr>
          <w:rFonts w:hint="eastAsia" w:ascii="仿宋_GB2312" w:hAnsi="仿宋_GB2312" w:eastAsia="仿宋_GB2312" w:cs="仿宋_GB2312"/>
          <w:b w:val="0"/>
          <w:bCs w:val="0"/>
          <w:color w:val="000000"/>
          <w:kern w:val="0"/>
          <w:sz w:val="32"/>
          <w:szCs w:val="32"/>
          <w:u w:val="none"/>
          <w:lang w:val="en-US" w:eastAsia="zh-CN" w:bidi="ar-SA"/>
        </w:rPr>
        <w:t>加强科教融汇，鼓励与高等学校建立产学研联合培养研究生基地，联合培养博士、硕士研究生等，</w:t>
      </w:r>
      <w:r>
        <w:rPr>
          <w:rFonts w:hint="eastAsia" w:ascii="仿宋_GB2312" w:hAnsi="仿宋" w:eastAsia="仿宋_GB2312" w:cs="Calibri"/>
          <w:color w:val="000000"/>
          <w:sz w:val="32"/>
          <w:szCs w:val="32"/>
          <w:u w:val="none"/>
        </w:rPr>
        <w:t>设立博士后科研流动站（工作站），不断壮大专业技术人才队伍。</w:t>
      </w:r>
    </w:p>
    <w:p>
      <w:pPr>
        <w:overflowPunct w:val="0"/>
        <w:spacing w:after="0" w:line="560" w:lineRule="exact"/>
        <w:jc w:val="center"/>
        <w:rPr>
          <w:rFonts w:ascii="Times New Roman" w:hAnsi="Times New Roman" w:eastAsia="黑体"/>
          <w:sz w:val="32"/>
          <w:szCs w:val="32"/>
          <w:u w:val="none"/>
        </w:rPr>
      </w:pPr>
      <w:bookmarkStart w:id="12" w:name="_Hlk186727588"/>
      <w:r>
        <w:rPr>
          <w:rFonts w:hint="eastAsia" w:ascii="方正黑体_GBK" w:hAnsi="Calibri" w:eastAsia="方正黑体_GBK" w:cs="Calibri"/>
          <w:color w:val="000000"/>
          <w:sz w:val="32"/>
          <w:szCs w:val="32"/>
          <w:u w:val="none"/>
        </w:rPr>
        <w:t xml:space="preserve">第五章  </w:t>
      </w:r>
      <w:r>
        <w:rPr>
          <w:rFonts w:hint="eastAsia" w:ascii="Times New Roman" w:hAnsi="Times New Roman" w:eastAsia="黑体"/>
          <w:sz w:val="32"/>
          <w:szCs w:val="32"/>
          <w:u w:val="none"/>
        </w:rPr>
        <w:t>动态管理</w:t>
      </w:r>
    </w:p>
    <w:bookmarkEnd w:id="12"/>
    <w:p>
      <w:pPr>
        <w:pStyle w:val="14"/>
        <w:shd w:val="clear" w:color="auto" w:fill="FFFFFF"/>
        <w:spacing w:before="0" w:beforeAutospacing="0" w:after="0" w:afterAutospacing="0" w:line="560" w:lineRule="exact"/>
        <w:ind w:firstLine="680"/>
        <w:jc w:val="both"/>
        <w:rPr>
          <w:rFonts w:ascii="Times New Roman" w:hAnsi="Times New Roman" w:eastAsia="仿宋_GB2312"/>
          <w:sz w:val="32"/>
          <w:szCs w:val="32"/>
          <w:u w:val="none"/>
        </w:rPr>
      </w:pPr>
      <w:r>
        <w:rPr>
          <w:rFonts w:hint="eastAsia" w:ascii="楷体" w:hAnsi="楷体" w:eastAsia="楷体" w:cs="楷体"/>
          <w:b/>
          <w:bCs/>
          <w:color w:val="333333"/>
          <w:sz w:val="32"/>
          <w:szCs w:val="32"/>
          <w:u w:val="none"/>
          <w:shd w:val="clear" w:color="auto" w:fill="FFFFFF"/>
        </w:rPr>
        <w:t xml:space="preserve">第二十二条  </w:t>
      </w:r>
      <w:r>
        <w:rPr>
          <w:rFonts w:hint="eastAsia" w:ascii="仿宋_GB2312" w:hAnsi="仿宋" w:eastAsia="仿宋_GB2312" w:cs="Calibri"/>
          <w:color w:val="000000"/>
          <w:sz w:val="32"/>
          <w:szCs w:val="32"/>
          <w:u w:val="none"/>
        </w:rPr>
        <w:t>平台分为建设期和运行期。建设期一般为2-3年，建设期满后组织验收，通过验收后进入运行期，未通过则限期</w:t>
      </w:r>
      <w:r>
        <w:rPr>
          <w:rFonts w:hint="eastAsia" w:ascii="仿宋_GB2312" w:hAnsi="仿宋" w:eastAsia="仿宋_GB2312" w:cs="Calibri"/>
          <w:color w:val="000000"/>
          <w:sz w:val="32"/>
          <w:szCs w:val="32"/>
          <w:u w:val="none"/>
          <w:lang w:val="en-US" w:eastAsia="zh-CN"/>
        </w:rPr>
        <w:t>1年</w:t>
      </w:r>
      <w:r>
        <w:rPr>
          <w:rFonts w:hint="eastAsia" w:ascii="仿宋_GB2312" w:hAnsi="仿宋" w:eastAsia="仿宋_GB2312" w:cs="Calibri"/>
          <w:color w:val="000000"/>
          <w:sz w:val="32"/>
          <w:szCs w:val="32"/>
          <w:u w:val="none"/>
        </w:rPr>
        <w:t>整改，整改后仍不通过退出平台建设。</w:t>
      </w:r>
    </w:p>
    <w:p>
      <w:pPr>
        <w:tabs>
          <w:tab w:val="left" w:pos="5473"/>
        </w:tabs>
        <w:overflowPunct w:val="0"/>
        <w:spacing w:after="0" w:line="560" w:lineRule="exact"/>
        <w:ind w:firstLine="640"/>
        <w:rPr>
          <w:rFonts w:ascii="Times New Roman" w:hAnsi="Times New Roman" w:eastAsia="仿宋_GB2312"/>
          <w:bCs/>
          <w:color w:val="000000"/>
          <w:sz w:val="32"/>
          <w:szCs w:val="32"/>
          <w:u w:val="none"/>
        </w:rPr>
      </w:pPr>
      <w:bookmarkStart w:id="13" w:name="_Hlk185869592"/>
      <w:r>
        <w:rPr>
          <w:rFonts w:hint="eastAsia" w:ascii="楷体" w:hAnsi="楷体" w:eastAsia="楷体" w:cs="楷体"/>
          <w:b/>
          <w:bCs/>
          <w:color w:val="333333"/>
          <w:sz w:val="32"/>
          <w:szCs w:val="32"/>
          <w:u w:val="none"/>
          <w:shd w:val="clear" w:color="auto" w:fill="FFFFFF"/>
        </w:rPr>
        <w:t xml:space="preserve">第二十三条  </w:t>
      </w:r>
      <w:bookmarkEnd w:id="13"/>
      <w:r>
        <w:rPr>
          <w:rFonts w:hint="eastAsia" w:ascii="仿宋_GB2312" w:hAnsi="仿宋" w:eastAsia="仿宋_GB2312" w:cs="Calibri"/>
          <w:color w:val="000000"/>
          <w:kern w:val="0"/>
          <w:sz w:val="32"/>
          <w:szCs w:val="32"/>
          <w:u w:val="none"/>
        </w:rPr>
        <w:t>进入运行期的平台实行年度报告制度。每年年末向科技办报告平台年度运行情况、存在问题、需协调解决事项等。</w:t>
      </w:r>
    </w:p>
    <w:p>
      <w:pPr>
        <w:tabs>
          <w:tab w:val="left" w:pos="5473"/>
        </w:tabs>
        <w:overflowPunct w:val="0"/>
        <w:spacing w:after="0" w:line="560" w:lineRule="exact"/>
        <w:ind w:firstLine="642" w:firstLineChars="200"/>
        <w:rPr>
          <w:rFonts w:ascii="Times New Roman" w:hAnsi="Times New Roman" w:eastAsia="仿宋_GB2312"/>
          <w:bCs/>
          <w:color w:val="000000"/>
          <w:sz w:val="32"/>
          <w:szCs w:val="32"/>
          <w:u w:val="none"/>
        </w:rPr>
      </w:pPr>
      <w:bookmarkStart w:id="14" w:name="_Hlk185869612"/>
      <w:r>
        <w:rPr>
          <w:rFonts w:hint="eastAsia" w:ascii="Times New Roman" w:hAnsi="Times New Roman" w:eastAsia="楷体_GB2312"/>
          <w:b/>
          <w:bCs/>
          <w:sz w:val="32"/>
          <w:szCs w:val="32"/>
          <w:u w:val="none"/>
        </w:rPr>
        <w:t xml:space="preserve">第二十四条  </w:t>
      </w:r>
      <w:bookmarkEnd w:id="14"/>
      <w:r>
        <w:rPr>
          <w:rFonts w:ascii="Times New Roman" w:hAnsi="Times New Roman" w:eastAsia="仿宋_GB2312"/>
          <w:bCs/>
          <w:color w:val="000000"/>
          <w:sz w:val="32"/>
          <w:szCs w:val="32"/>
          <w:u w:val="none"/>
        </w:rPr>
        <w:t>科技厅会同财政厅等有关部门</w:t>
      </w:r>
      <w:r>
        <w:rPr>
          <w:rFonts w:ascii="Times New Roman" w:hAnsi="Times New Roman" w:eastAsia="仿宋_GB2312"/>
          <w:sz w:val="32"/>
          <w:szCs w:val="32"/>
          <w:u w:val="none"/>
        </w:rPr>
        <w:t>督促平台加强项目和资金管理</w:t>
      </w:r>
      <w:r>
        <w:rPr>
          <w:rFonts w:ascii="Times New Roman" w:hAnsi="Times New Roman" w:eastAsia="仿宋_GB2312"/>
          <w:bCs/>
          <w:color w:val="000000"/>
          <w:sz w:val="32"/>
          <w:szCs w:val="32"/>
          <w:u w:val="none"/>
        </w:rPr>
        <w:t>，确保平台财政资金使用、项目建设、科研</w:t>
      </w:r>
      <w:r>
        <w:rPr>
          <w:rFonts w:hint="eastAsia" w:ascii="Times New Roman" w:hAnsi="Times New Roman" w:eastAsia="仿宋_GB2312"/>
          <w:bCs/>
          <w:color w:val="000000"/>
          <w:sz w:val="32"/>
          <w:szCs w:val="32"/>
          <w:u w:val="none"/>
        </w:rPr>
        <w:t>创新</w:t>
      </w:r>
      <w:r>
        <w:rPr>
          <w:rFonts w:ascii="Times New Roman" w:hAnsi="Times New Roman" w:eastAsia="仿宋_GB2312"/>
          <w:bCs/>
          <w:color w:val="000000"/>
          <w:sz w:val="32"/>
          <w:szCs w:val="32"/>
          <w:u w:val="none"/>
        </w:rPr>
        <w:t>、成果转化等规范高效运行。</w:t>
      </w:r>
    </w:p>
    <w:p>
      <w:pPr>
        <w:tabs>
          <w:tab w:val="left" w:pos="5473"/>
        </w:tabs>
        <w:overflowPunct w:val="0"/>
        <w:spacing w:after="0" w:line="560" w:lineRule="exact"/>
        <w:ind w:firstLine="642" w:firstLineChars="200"/>
        <w:rPr>
          <w:rFonts w:ascii="Times New Roman" w:hAnsi="Times New Roman" w:eastAsia="仿宋_GB2312"/>
          <w:bCs/>
          <w:color w:val="000000"/>
          <w:sz w:val="32"/>
          <w:szCs w:val="32"/>
          <w:u w:val="none"/>
        </w:rPr>
      </w:pPr>
      <w:bookmarkStart w:id="15" w:name="_Hlk185869690"/>
      <w:r>
        <w:rPr>
          <w:rFonts w:hint="eastAsia" w:ascii="Times New Roman" w:hAnsi="Times New Roman" w:eastAsia="楷体_GB2312"/>
          <w:b/>
          <w:bCs/>
          <w:sz w:val="32"/>
          <w:szCs w:val="32"/>
          <w:u w:val="none"/>
        </w:rPr>
        <w:t xml:space="preserve">第二十五条  </w:t>
      </w:r>
      <w:bookmarkEnd w:id="15"/>
      <w:bookmarkStart w:id="16" w:name="_Hlk190183986"/>
      <w:r>
        <w:rPr>
          <w:rFonts w:hint="eastAsia" w:ascii="Times New Roman" w:hAnsi="Times New Roman" w:eastAsia="仿宋_GB2312"/>
          <w:bCs/>
          <w:color w:val="000000"/>
          <w:sz w:val="32"/>
          <w:szCs w:val="32"/>
          <w:u w:val="none"/>
        </w:rPr>
        <w:t>平台财政资金使用进度及运行成效</w:t>
      </w:r>
      <w:r>
        <w:rPr>
          <w:rFonts w:ascii="Times New Roman" w:hAnsi="Times New Roman" w:eastAsia="仿宋_GB2312"/>
          <w:bCs/>
          <w:color w:val="000000"/>
          <w:sz w:val="32"/>
          <w:szCs w:val="32"/>
          <w:u w:val="none"/>
        </w:rPr>
        <w:t>作为下一年度财政支持资金安排的重要依据</w:t>
      </w:r>
      <w:bookmarkEnd w:id="16"/>
      <w:r>
        <w:rPr>
          <w:rFonts w:ascii="Times New Roman" w:hAnsi="Times New Roman" w:eastAsia="仿宋_GB2312"/>
          <w:bCs/>
          <w:color w:val="000000"/>
          <w:sz w:val="32"/>
          <w:szCs w:val="32"/>
          <w:u w:val="none"/>
        </w:rPr>
        <w:t>。</w:t>
      </w:r>
    </w:p>
    <w:p>
      <w:pPr>
        <w:overflowPunct w:val="0"/>
        <w:spacing w:after="0" w:line="560" w:lineRule="exact"/>
        <w:jc w:val="center"/>
        <w:rPr>
          <w:rFonts w:ascii="Times New Roman" w:hAnsi="Times New Roman" w:eastAsia="楷体_GB2312"/>
          <w:b/>
          <w:bCs/>
          <w:sz w:val="32"/>
          <w:szCs w:val="32"/>
          <w:u w:val="none"/>
        </w:rPr>
      </w:pPr>
      <w:r>
        <w:rPr>
          <w:rFonts w:hint="eastAsia" w:ascii="方正黑体_GBK" w:hAnsi="Calibri" w:eastAsia="方正黑体_GBK" w:cs="Calibri"/>
          <w:color w:val="000000"/>
          <w:sz w:val="32"/>
          <w:szCs w:val="32"/>
          <w:u w:val="none"/>
        </w:rPr>
        <w:t xml:space="preserve">第六章  </w:t>
      </w:r>
      <w:r>
        <w:rPr>
          <w:rFonts w:hint="eastAsia" w:ascii="Times New Roman" w:hAnsi="Times New Roman" w:eastAsia="黑体"/>
          <w:sz w:val="32"/>
          <w:szCs w:val="32"/>
          <w:u w:val="none"/>
        </w:rPr>
        <w:t>附则</w:t>
      </w:r>
    </w:p>
    <w:p>
      <w:pPr>
        <w:tabs>
          <w:tab w:val="left" w:pos="5473"/>
        </w:tabs>
        <w:overflowPunct w:val="0"/>
        <w:spacing w:after="0" w:line="560" w:lineRule="exact"/>
        <w:ind w:firstLine="642" w:firstLineChars="200"/>
        <w:jc w:val="both"/>
        <w:rPr>
          <w:rFonts w:hint="eastAsia" w:ascii="仿宋_GB2312" w:hAnsi="仿宋" w:eastAsia="仿宋_GB2312" w:cs="仿宋"/>
          <w:color w:val="333333"/>
          <w:kern w:val="0"/>
          <w:sz w:val="32"/>
          <w:szCs w:val="32"/>
          <w:u w:val="none"/>
          <w:shd w:val="clear" w:color="auto" w:fill="FFFFFF"/>
        </w:rPr>
      </w:pPr>
      <w:r>
        <w:rPr>
          <w:rFonts w:hint="eastAsia" w:ascii="Times New Roman" w:hAnsi="Times New Roman" w:eastAsia="楷体_GB2312"/>
          <w:b/>
          <w:bCs/>
          <w:sz w:val="32"/>
          <w:szCs w:val="32"/>
          <w:u w:val="none"/>
        </w:rPr>
        <w:t xml:space="preserve">第二十六条  </w:t>
      </w:r>
      <w:r>
        <w:rPr>
          <w:rFonts w:hint="eastAsia" w:ascii="仿宋_GB2312" w:hAnsi="仿宋" w:eastAsia="仿宋_GB2312" w:cs="仿宋"/>
          <w:color w:val="333333"/>
          <w:kern w:val="0"/>
          <w:sz w:val="32"/>
          <w:szCs w:val="32"/>
          <w:u w:val="none"/>
          <w:shd w:val="clear" w:color="auto" w:fill="FFFFFF"/>
        </w:rPr>
        <w:t>国家实验室基地、全国重点实验室、国家技术创新中心等基础研究类、技术创新类、成果转化与产业化类国家级科技创新平台基地等，由其主管部门按相应平台基地序列组织的验收评估结果，视同为本办法的验收结果等，并参照第五章有关条款进行管理。</w:t>
      </w:r>
    </w:p>
    <w:p>
      <w:pPr>
        <w:keepNext w:val="0"/>
        <w:keepLines w:val="0"/>
        <w:widowControl/>
        <w:suppressLineNumbers w:val="0"/>
        <w:tabs>
          <w:tab w:val="left" w:pos="5473"/>
        </w:tabs>
        <w:overflowPunct w:val="0"/>
        <w:spacing w:after="0" w:line="560" w:lineRule="exact"/>
        <w:ind w:firstLine="642" w:firstLineChars="200"/>
        <w:jc w:val="left"/>
        <w:rPr>
          <w:u w:val="none"/>
        </w:rPr>
      </w:pPr>
      <w:r>
        <w:rPr>
          <w:rFonts w:hint="eastAsia" w:ascii="Times New Roman" w:hAnsi="Times New Roman" w:eastAsia="楷体_GB2312"/>
          <w:b/>
          <w:bCs/>
          <w:sz w:val="32"/>
          <w:szCs w:val="32"/>
          <w:u w:val="none"/>
        </w:rPr>
        <w:t xml:space="preserve">第二十七条  </w:t>
      </w:r>
      <w:r>
        <w:rPr>
          <w:rFonts w:hint="eastAsia" w:ascii="仿宋_GB2312" w:hAnsi="仿宋" w:eastAsia="仿宋_GB2312" w:cs="仿宋"/>
          <w:i w:val="0"/>
          <w:caps w:val="0"/>
          <w:color w:val="333333"/>
          <w:spacing w:val="0"/>
          <w:kern w:val="0"/>
          <w:sz w:val="32"/>
          <w:szCs w:val="32"/>
          <w:u w:val="none"/>
          <w:shd w:val="clear" w:color="auto" w:fill="FFFFFF"/>
          <w:lang w:val="en-US" w:eastAsia="zh-CN" w:bidi="ar"/>
          <w14:ligatures w14:val="standardContextual"/>
        </w:rPr>
        <w:t>本办法（试行）由自治区科技厅负责解释，自2025年  月1日起执行，有效期至2027年  月  日。</w:t>
      </w:r>
    </w:p>
    <w:p>
      <w:pPr>
        <w:tabs>
          <w:tab w:val="left" w:pos="5473"/>
        </w:tabs>
        <w:overflowPunct w:val="0"/>
        <w:spacing w:after="0" w:line="560" w:lineRule="exact"/>
        <w:ind w:firstLine="640" w:firstLineChars="200"/>
        <w:rPr>
          <w:rFonts w:hint="eastAsia" w:ascii="仿宋_GB2312" w:hAnsi="仿宋" w:eastAsia="仿宋_GB2312" w:cs="仿宋"/>
          <w:color w:val="333333"/>
          <w:kern w:val="0"/>
          <w:sz w:val="32"/>
          <w:szCs w:val="32"/>
          <w:u w:val="none"/>
          <w:shd w:val="clear" w:color="auto" w:fill="FFFFFF"/>
        </w:rPr>
      </w:pPr>
    </w:p>
    <w:p>
      <w:pPr>
        <w:tabs>
          <w:tab w:val="left" w:pos="5473"/>
        </w:tabs>
        <w:overflowPunct w:val="0"/>
        <w:spacing w:after="0" w:line="560" w:lineRule="exact"/>
        <w:ind w:firstLine="640" w:firstLineChars="200"/>
        <w:rPr>
          <w:rFonts w:hint="eastAsia" w:ascii="仿宋_GB2312" w:eastAsia="仿宋_GB2312"/>
          <w:sz w:val="32"/>
          <w:szCs w:val="32"/>
          <w:u w:val="none"/>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Light">
    <w:altName w:val="汉仪中宋简"/>
    <w:panose1 w:val="02010600030101010101"/>
    <w:charset w:val="86"/>
    <w:family w:val="auto"/>
    <w:pitch w:val="default"/>
    <w:sig w:usb0="00000000" w:usb1="00000000" w:usb2="00000016" w:usb3="00000000" w:csb0="0004000F"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等线 Light">
    <w:altName w:val="仿宋"/>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1"/>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649"/>
    <w:rsid w:val="00014684"/>
    <w:rsid w:val="00040FC5"/>
    <w:rsid w:val="000513F2"/>
    <w:rsid w:val="00071716"/>
    <w:rsid w:val="00080127"/>
    <w:rsid w:val="000D75FE"/>
    <w:rsid w:val="000F143E"/>
    <w:rsid w:val="0013284D"/>
    <w:rsid w:val="00167F31"/>
    <w:rsid w:val="001719F3"/>
    <w:rsid w:val="001947AA"/>
    <w:rsid w:val="00195113"/>
    <w:rsid w:val="001A02E4"/>
    <w:rsid w:val="001F1D6F"/>
    <w:rsid w:val="00217C22"/>
    <w:rsid w:val="00225238"/>
    <w:rsid w:val="00234FCB"/>
    <w:rsid w:val="002A620A"/>
    <w:rsid w:val="002C46B2"/>
    <w:rsid w:val="002E3DE8"/>
    <w:rsid w:val="0034314F"/>
    <w:rsid w:val="003D7046"/>
    <w:rsid w:val="00414CEC"/>
    <w:rsid w:val="004304A9"/>
    <w:rsid w:val="004A4435"/>
    <w:rsid w:val="004B24A4"/>
    <w:rsid w:val="00551A96"/>
    <w:rsid w:val="00576227"/>
    <w:rsid w:val="005875FA"/>
    <w:rsid w:val="00590C17"/>
    <w:rsid w:val="0069040B"/>
    <w:rsid w:val="00694599"/>
    <w:rsid w:val="0075589B"/>
    <w:rsid w:val="0076147C"/>
    <w:rsid w:val="0076391F"/>
    <w:rsid w:val="007713F1"/>
    <w:rsid w:val="007B0793"/>
    <w:rsid w:val="007C2556"/>
    <w:rsid w:val="007C2EE2"/>
    <w:rsid w:val="007C6F52"/>
    <w:rsid w:val="007E40AB"/>
    <w:rsid w:val="00805B39"/>
    <w:rsid w:val="00825649"/>
    <w:rsid w:val="008B523D"/>
    <w:rsid w:val="008E02C0"/>
    <w:rsid w:val="00917B6C"/>
    <w:rsid w:val="00933E52"/>
    <w:rsid w:val="009A189E"/>
    <w:rsid w:val="009E1CE1"/>
    <w:rsid w:val="009E668B"/>
    <w:rsid w:val="00A008D8"/>
    <w:rsid w:val="00A02471"/>
    <w:rsid w:val="00A24A72"/>
    <w:rsid w:val="00A27330"/>
    <w:rsid w:val="00A405B0"/>
    <w:rsid w:val="00A65299"/>
    <w:rsid w:val="00AA3969"/>
    <w:rsid w:val="00AD42C0"/>
    <w:rsid w:val="00B37AA4"/>
    <w:rsid w:val="00B463A4"/>
    <w:rsid w:val="00B528C3"/>
    <w:rsid w:val="00B56C43"/>
    <w:rsid w:val="00B7283C"/>
    <w:rsid w:val="00B76BAD"/>
    <w:rsid w:val="00BD71CF"/>
    <w:rsid w:val="00BF6059"/>
    <w:rsid w:val="00C06C62"/>
    <w:rsid w:val="00C240A6"/>
    <w:rsid w:val="00C66A22"/>
    <w:rsid w:val="00CE1429"/>
    <w:rsid w:val="00D03DEE"/>
    <w:rsid w:val="00D539C9"/>
    <w:rsid w:val="00DC1F30"/>
    <w:rsid w:val="00DF7180"/>
    <w:rsid w:val="00E26E05"/>
    <w:rsid w:val="00E46587"/>
    <w:rsid w:val="00E472B5"/>
    <w:rsid w:val="00E85FE6"/>
    <w:rsid w:val="00EB3B21"/>
    <w:rsid w:val="00F73FD3"/>
    <w:rsid w:val="00F834FD"/>
    <w:rsid w:val="00F851CA"/>
    <w:rsid w:val="00F85E24"/>
    <w:rsid w:val="00FA14B9"/>
    <w:rsid w:val="00FD281F"/>
    <w:rsid w:val="00FE090D"/>
    <w:rsid w:val="00FE09F0"/>
    <w:rsid w:val="00FE0E45"/>
    <w:rsid w:val="00FE16C3"/>
    <w:rsid w:val="00FE1DDC"/>
    <w:rsid w:val="00FF63CF"/>
    <w:rsid w:val="0A57101C"/>
    <w:rsid w:val="0DCC3004"/>
    <w:rsid w:val="0FA26CE9"/>
    <w:rsid w:val="193527AA"/>
    <w:rsid w:val="26CF0723"/>
    <w:rsid w:val="2B5A1E3F"/>
    <w:rsid w:val="2E032A38"/>
    <w:rsid w:val="32450F35"/>
    <w:rsid w:val="32F7774E"/>
    <w:rsid w:val="33DA24F6"/>
    <w:rsid w:val="3E3F0E7F"/>
    <w:rsid w:val="658E4A96"/>
    <w:rsid w:val="67956430"/>
    <w:rsid w:val="755F55B2"/>
    <w:rsid w:val="7B7D695C"/>
    <w:rsid w:val="7B7EEFEF"/>
    <w:rsid w:val="7FF3637A"/>
    <w:rsid w:val="8FF16765"/>
    <w:rsid w:val="B1ABAF2B"/>
    <w:rsid w:val="B1F4BCF0"/>
    <w:rsid w:val="BEEBDD5A"/>
    <w:rsid w:val="BFFB7A8A"/>
    <w:rsid w:val="EBEF4A29"/>
    <w:rsid w:val="FDFFD8FB"/>
    <w:rsid w:val="FED3A77E"/>
    <w:rsid w:val="FEDEEF6A"/>
    <w:rsid w:val="FEDF0A43"/>
    <w:rsid w:val="FEF7E471"/>
    <w:rsid w:val="FFBDBD76"/>
    <w:rsid w:val="FFEF9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2">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21"/>
    <w:semiHidden/>
    <w:unhideWhenUsed/>
    <w:qFormat/>
    <w:uiPriority w:val="9"/>
    <w:pPr>
      <w:keepNext/>
      <w:keepLines/>
      <w:spacing w:before="80" w:after="40"/>
      <w:outlineLvl w:val="3"/>
    </w:pPr>
    <w:rPr>
      <w:rFonts w:cstheme="majorBidi"/>
      <w:color w:val="2F5597" w:themeColor="accent1" w:themeShade="BF"/>
      <w:sz w:val="28"/>
      <w:szCs w:val="28"/>
    </w:rPr>
  </w:style>
  <w:style w:type="paragraph" w:styleId="6">
    <w:name w:val="heading 5"/>
    <w:basedOn w:val="1"/>
    <w:next w:val="1"/>
    <w:link w:val="22"/>
    <w:semiHidden/>
    <w:unhideWhenUsed/>
    <w:qFormat/>
    <w:uiPriority w:val="9"/>
    <w:pPr>
      <w:keepNext/>
      <w:keepLines/>
      <w:spacing w:before="80" w:after="40"/>
      <w:outlineLvl w:val="4"/>
    </w:pPr>
    <w:rPr>
      <w:rFonts w:cstheme="majorBidi"/>
      <w:color w:val="2F5597" w:themeColor="accent1" w:themeShade="BF"/>
      <w:sz w:val="24"/>
    </w:rPr>
  </w:style>
  <w:style w:type="paragraph" w:styleId="7">
    <w:name w:val="heading 6"/>
    <w:basedOn w:val="1"/>
    <w:next w:val="1"/>
    <w:link w:val="23"/>
    <w:semiHidden/>
    <w:unhideWhenUsed/>
    <w:qFormat/>
    <w:uiPriority w:val="9"/>
    <w:pPr>
      <w:keepNext/>
      <w:keepLines/>
      <w:spacing w:before="40" w:after="0"/>
      <w:outlineLvl w:val="5"/>
    </w:pPr>
    <w:rPr>
      <w:rFonts w:cstheme="majorBidi"/>
      <w:b/>
      <w:bCs/>
      <w:color w:val="2F5597" w:themeColor="accent1" w:themeShade="BF"/>
    </w:rPr>
  </w:style>
  <w:style w:type="paragraph" w:styleId="8">
    <w:name w:val="heading 7"/>
    <w:basedOn w:val="1"/>
    <w:next w:val="1"/>
    <w:link w:val="24"/>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7"/>
    <w:unhideWhenUsed/>
    <w:qFormat/>
    <w:uiPriority w:val="99"/>
    <w:pPr>
      <w:tabs>
        <w:tab w:val="center" w:pos="4153"/>
        <w:tab w:val="right" w:pos="8306"/>
      </w:tabs>
      <w:snapToGrid w:val="0"/>
      <w:spacing w:line="240" w:lineRule="auto"/>
    </w:pPr>
    <w:rPr>
      <w:sz w:val="18"/>
      <w:szCs w:val="18"/>
    </w:rPr>
  </w:style>
  <w:style w:type="paragraph" w:styleId="12">
    <w:name w:val="header"/>
    <w:basedOn w:val="1"/>
    <w:link w:val="36"/>
    <w:unhideWhenUsed/>
    <w:qFormat/>
    <w:uiPriority w:val="99"/>
    <w:pPr>
      <w:tabs>
        <w:tab w:val="center" w:pos="4153"/>
        <w:tab w:val="right" w:pos="8306"/>
      </w:tabs>
      <w:snapToGrid w:val="0"/>
      <w:spacing w:line="240" w:lineRule="auto"/>
      <w:jc w:val="center"/>
    </w:pPr>
    <w:rPr>
      <w:sz w:val="18"/>
      <w:szCs w:val="18"/>
    </w:rPr>
  </w:style>
  <w:style w:type="paragraph" w:styleId="13">
    <w:name w:val="Subtitle"/>
    <w:basedOn w:val="1"/>
    <w:next w:val="1"/>
    <w:link w:val="28"/>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nhideWhenUsed/>
    <w:qFormat/>
    <w:uiPriority w:val="99"/>
    <w:pPr>
      <w:widowControl/>
      <w:spacing w:before="100" w:beforeAutospacing="1" w:after="100" w:afterAutospacing="1"/>
    </w:pPr>
    <w:rPr>
      <w:rFonts w:ascii="宋体" w:hAnsi="宋体" w:eastAsia="宋体" w:cs="宋体"/>
      <w:kern w:val="0"/>
      <w:sz w:val="24"/>
    </w:rPr>
  </w:style>
  <w:style w:type="paragraph" w:styleId="15">
    <w:name w:val="Title"/>
    <w:basedOn w:val="1"/>
    <w:next w:val="1"/>
    <w:link w:val="27"/>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2"/>
    <w:qFormat/>
    <w:uiPriority w:val="9"/>
    <w:rPr>
      <w:rFonts w:asciiTheme="majorHAnsi" w:hAnsiTheme="majorHAnsi" w:eastAsiaTheme="majorEastAsia" w:cstheme="majorBidi"/>
      <w:color w:val="2F5597" w:themeColor="accent1" w:themeShade="BF"/>
      <w:sz w:val="48"/>
      <w:szCs w:val="48"/>
    </w:rPr>
  </w:style>
  <w:style w:type="character" w:customStyle="1" w:styleId="19">
    <w:name w:val="标题 2 字符"/>
    <w:basedOn w:val="17"/>
    <w:link w:val="3"/>
    <w:semiHidden/>
    <w:qFormat/>
    <w:uiPriority w:val="9"/>
    <w:rPr>
      <w:rFonts w:asciiTheme="majorHAnsi" w:hAnsiTheme="majorHAnsi" w:eastAsiaTheme="majorEastAsia" w:cstheme="majorBidi"/>
      <w:color w:val="2F5597" w:themeColor="accent1" w:themeShade="BF"/>
      <w:sz w:val="40"/>
      <w:szCs w:val="40"/>
    </w:rPr>
  </w:style>
  <w:style w:type="character" w:customStyle="1" w:styleId="20">
    <w:name w:val="标题 3 字符"/>
    <w:basedOn w:val="17"/>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21">
    <w:name w:val="标题 4 字符"/>
    <w:basedOn w:val="17"/>
    <w:link w:val="5"/>
    <w:semiHidden/>
    <w:qFormat/>
    <w:uiPriority w:val="9"/>
    <w:rPr>
      <w:rFonts w:cstheme="majorBidi"/>
      <w:color w:val="2F5597" w:themeColor="accent1" w:themeShade="BF"/>
      <w:sz w:val="28"/>
      <w:szCs w:val="28"/>
    </w:rPr>
  </w:style>
  <w:style w:type="character" w:customStyle="1" w:styleId="22">
    <w:name w:val="标题 5 字符"/>
    <w:basedOn w:val="17"/>
    <w:link w:val="6"/>
    <w:semiHidden/>
    <w:qFormat/>
    <w:uiPriority w:val="9"/>
    <w:rPr>
      <w:rFonts w:cstheme="majorBidi"/>
      <w:color w:val="2F5597" w:themeColor="accent1" w:themeShade="BF"/>
      <w:sz w:val="24"/>
    </w:rPr>
  </w:style>
  <w:style w:type="character" w:customStyle="1" w:styleId="23">
    <w:name w:val="标题 6 字符"/>
    <w:basedOn w:val="17"/>
    <w:link w:val="7"/>
    <w:semiHidden/>
    <w:qFormat/>
    <w:uiPriority w:val="9"/>
    <w:rPr>
      <w:rFonts w:cstheme="majorBidi"/>
      <w:b/>
      <w:bCs/>
      <w:color w:val="2F5597" w:themeColor="accent1" w:themeShade="BF"/>
    </w:rPr>
  </w:style>
  <w:style w:type="character" w:customStyle="1" w:styleId="24">
    <w:name w:val="标题 7 字符"/>
    <w:basedOn w:val="17"/>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5">
    <w:name w:val="标题 8 字符"/>
    <w:basedOn w:val="17"/>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6">
    <w:name w:val="标题 9 字符"/>
    <w:basedOn w:val="17"/>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2F5597" w:themeColor="accent1" w:themeShade="BF"/>
    </w:rPr>
  </w:style>
  <w:style w:type="paragraph" w:styleId="33">
    <w:name w:val="Intense Quote"/>
    <w:basedOn w:val="1"/>
    <w:next w:val="1"/>
    <w:link w:val="34"/>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4">
    <w:name w:val="明显引用 字符"/>
    <w:basedOn w:val="17"/>
    <w:link w:val="33"/>
    <w:qFormat/>
    <w:uiPriority w:val="30"/>
    <w:rPr>
      <w:i/>
      <w:iCs/>
      <w:color w:val="2F5597" w:themeColor="accent1" w:themeShade="BF"/>
    </w:rPr>
  </w:style>
  <w:style w:type="character" w:customStyle="1" w:styleId="35">
    <w:name w:val="明显参考1"/>
    <w:basedOn w:val="17"/>
    <w:qFormat/>
    <w:uiPriority w:val="32"/>
    <w:rPr>
      <w:b/>
      <w:bCs/>
      <w:smallCaps/>
      <w:color w:val="2F5597" w:themeColor="accent1" w:themeShade="BF"/>
      <w:spacing w:val="5"/>
    </w:rPr>
  </w:style>
  <w:style w:type="character" w:customStyle="1" w:styleId="36">
    <w:name w:val="页眉 字符"/>
    <w:basedOn w:val="17"/>
    <w:link w:val="12"/>
    <w:qFormat/>
    <w:uiPriority w:val="99"/>
    <w:rPr>
      <w:kern w:val="2"/>
      <w:sz w:val="18"/>
      <w:szCs w:val="18"/>
      <w14:ligatures w14:val="standardContextual"/>
    </w:rPr>
  </w:style>
  <w:style w:type="character" w:customStyle="1" w:styleId="37">
    <w:name w:val="页脚 字符"/>
    <w:basedOn w:val="17"/>
    <w:link w:val="11"/>
    <w:qFormat/>
    <w:uiPriority w:val="99"/>
    <w:rPr>
      <w:kern w:val="2"/>
      <w:sz w:val="18"/>
      <w:szCs w:val="18"/>
      <w14:ligatures w14:val="standardContextual"/>
    </w:rPr>
  </w:style>
  <w:style w:type="paragraph" w:customStyle="1" w:styleId="38">
    <w:name w:val="修订1"/>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39">
    <w:name w:val="修订2"/>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0">
    <w:name w:val="修订3"/>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1">
    <w:name w:val="修订4"/>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 w:type="paragraph" w:customStyle="1" w:styleId="42">
    <w:name w:val="Revision"/>
    <w:hidden/>
    <w:unhideWhenUsed/>
    <w:qFormat/>
    <w:uiPriority w:val="99"/>
    <w:rPr>
      <w:rFonts w:asciiTheme="minorHAnsi" w:hAnsiTheme="minorHAnsi" w:eastAsiaTheme="minorEastAsia" w:cstheme="minorBidi"/>
      <w:kern w:val="2"/>
      <w:sz w:val="22"/>
      <w:szCs w:val="24"/>
      <w:lang w:val="en-US" w:eastAsia="zh-CN"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430</Words>
  <Characters>2454</Characters>
  <Lines>20</Lines>
  <Paragraphs>5</Paragraphs>
  <TotalTime>8</TotalTime>
  <ScaleCrop>false</ScaleCrop>
  <LinksUpToDate>false</LinksUpToDate>
  <CharactersWithSpaces>2879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2025-03-21T19:42:00Z</dcterms:created>
  <dc:creator>admin</dc:creator>
  <cp:lastModifiedBy>user</cp:lastModifiedBy>
  <cp:lastPrinted>2025-04-11T13:21:35Z</cp:lastPrinted>
  <dcterms:modified xsi:type="dcterms:W3CDTF">2025-04-11T13:24:30Z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eyJoZGlkIjoiZTUyMDc5YzYxN2I3MWY2MTAxYzg1ODJlYTA1OGUxNjAiLCJ1c2VySWQiOiI1Njk0OTYwMTAifQ==</vt:lpwstr>
  </property>
  <property fmtid="{D5CDD505-2E9C-101B-9397-08002B2CF9AE}" pid="3" name="KSOProductBuildVer">
    <vt:lpwstr>2052-11.8.2.10125</vt:lpwstr>
  </property>
  <property fmtid="{D5CDD505-2E9C-101B-9397-08002B2CF9AE}" pid="4" name="ICV">
    <vt:lpwstr>E25AF4425811486DB64948EDA539BEAB_13</vt:lpwstr>
  </property>
</Properties>
</file>