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科技部关于开展第二批创新型县（市）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建设工作的通知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国科发农〔2023〕76号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各有关省、自治区、直辖市及计划单列市科技厅（委、局），新疆生产建设兵团科技局：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为贯彻落实《国务院办公厅关于县域创新驱动发展的若干意见》（国办发〔2017〕43号）、《“十四五”县域创新驱动发展专项规划》，根据《创新型县（市）建设工作指引》（国科发〔2018〕130号），按照第二批创新型县（市）建设工作安排，经地方推荐、形式审查、数据评价、专家质询和公示，确定河北省黄骅市等92个县（市）为第二批创新型县（市）建设县（市）（名单见附件）。现就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一、各有关地方省级科技管理部门要加强对创新型县（市）建设的统筹推动和督促指导，支持科技创新项目、科技创新平台和载体在创新型县（市）落地，加强典型做法总结凝练和推广。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二、各有关创新型县（市）建设县（市）要认真实施创新型县（市）建设方案，不断提升建设质量，充分发挥示范引领作用，坚定走创新驱动高质量发展之路。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三、创新型县（市）建设周期为3年，建设期结束后将开展评估验收。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附件：第二批创新型县（市）建设名单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                                     科 技 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                                  2023年5月10日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（此件主动公开）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第二批创新型县（市）建设名单（新疆）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一、西部地区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1.新疆维吾尔自治区玛纳斯县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2.新疆维吾尔自治区阿拉山口市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3.新疆维吾尔自治区伊吾县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63A4687F"/>
    <w:rsid w:val="63A4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556</Characters>
  <Lines>0</Lines>
  <Paragraphs>0</Paragraphs>
  <TotalTime>4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2023-05-15T11:49:00Z</dcterms:created>
  <dc:creator>刘佳</dc:creator>
  <cp:lastModifiedBy>刘佳</cp:lastModifiedBy>
  <dcterms:modified xsi:type="dcterms:W3CDTF">2023-05-15T11:55:19Z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7CDD9AF41C174DBAA38383CF6C7B73CF_11</vt:lpwstr>
  </property>
</Properties>
</file>