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textAlignment w:val="auto"/>
        <w:outlineLvl w:val="9"/>
        <w:rPr>
          <w:rFonts w:hint="default" w:ascii="方正仿宋_GBK" w:hAnsi="仿宋" w:eastAsia="方正仿宋_GBK" w:cs="仿宋"/>
          <w:color w:val="auto"/>
          <w:sz w:val="32"/>
          <w:szCs w:val="32"/>
          <w:lang w:val="en-US" w:eastAsia="zh-CN"/>
        </w:rPr>
      </w:pPr>
      <w:bookmarkStart w:id="0" w:name="_GoBack"/>
      <w:r>
        <w:rPr>
          <w:rFonts w:hint="eastAsia" w:ascii="方正仿宋_GBK" w:hAnsi="仿宋" w:eastAsia="方正仿宋_GBK" w:cs="仿宋"/>
          <w:color w:val="auto"/>
          <w:sz w:val="32"/>
          <w:szCs w:val="32"/>
          <w:lang w:eastAsia="zh-CN"/>
        </w:rPr>
        <w:t>附件</w:t>
      </w:r>
      <w:r>
        <w:rPr>
          <w:rFonts w:hint="eastAsia" w:ascii="方正仿宋_GBK" w:hAnsi="仿宋" w:eastAsia="方正仿宋_GBK" w:cs="仿宋"/>
          <w:color w:val="auto"/>
          <w:sz w:val="32"/>
          <w:szCs w:val="32"/>
          <w:lang w:val="en-US" w:eastAsia="zh-CN"/>
        </w:rPr>
        <w:t>1</w:t>
      </w:r>
    </w:p>
    <w:bookmarkEnd w:id="0"/>
    <w:p>
      <w:pPr>
        <w:keepNext w:val="0"/>
        <w:keepLines w:val="0"/>
        <w:pageBreakBefore w:val="0"/>
        <w:kinsoku/>
        <w:wordWrap/>
        <w:overflowPunct/>
        <w:topLinePunct w:val="0"/>
        <w:autoSpaceDE/>
        <w:autoSpaceDN/>
        <w:bidi w:val="0"/>
        <w:adjustRightInd/>
        <w:snapToGrid/>
        <w:spacing w:beforeAutospacing="0" w:afterAutospacing="0" w:line="520" w:lineRule="exact"/>
        <w:jc w:val="center"/>
        <w:textAlignment w:val="auto"/>
        <w:outlineLvl w:val="9"/>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202</w:t>
      </w:r>
      <w:r>
        <w:rPr>
          <w:rFonts w:hint="eastAsia" w:ascii="方正小标宋_GBK" w:hAnsi="方正小标宋_GBK" w:eastAsia="方正小标宋_GBK" w:cs="方正小标宋_GBK"/>
          <w:bCs/>
          <w:color w:val="auto"/>
          <w:sz w:val="44"/>
          <w:szCs w:val="44"/>
          <w:lang w:val="en-US" w:eastAsia="zh-CN"/>
        </w:rPr>
        <w:t>3</w:t>
      </w:r>
      <w:r>
        <w:rPr>
          <w:rFonts w:hint="eastAsia" w:ascii="方正小标宋_GBK" w:hAnsi="方正小标宋_GBK" w:eastAsia="方正小标宋_GBK" w:cs="方正小标宋_GBK"/>
          <w:bCs/>
          <w:color w:val="auto"/>
          <w:sz w:val="44"/>
          <w:szCs w:val="44"/>
        </w:rPr>
        <w:t>年自治区科技成果转化示范专项—乡村振兴产业发展科技行动项目</w:t>
      </w:r>
    </w:p>
    <w:p>
      <w:pPr>
        <w:keepNext w:val="0"/>
        <w:keepLines w:val="0"/>
        <w:pageBreakBefore w:val="0"/>
        <w:kinsoku/>
        <w:wordWrap/>
        <w:overflowPunct/>
        <w:topLinePunct w:val="0"/>
        <w:autoSpaceDE/>
        <w:autoSpaceDN/>
        <w:bidi w:val="0"/>
        <w:adjustRightInd/>
        <w:snapToGrid/>
        <w:spacing w:beforeAutospacing="0" w:afterAutospacing="0" w:line="520" w:lineRule="exact"/>
        <w:jc w:val="center"/>
        <w:textAlignment w:val="auto"/>
        <w:outlineLvl w:val="9"/>
        <w:rPr>
          <w:rFonts w:hint="eastAsia" w:ascii="方正仿宋_GBK" w:hAnsi="仿宋" w:eastAsia="方正仿宋_GBK" w:cs="仿宋"/>
          <w:color w:val="auto"/>
          <w:sz w:val="32"/>
          <w:szCs w:val="32"/>
        </w:rPr>
      </w:pPr>
      <w:r>
        <w:rPr>
          <w:rFonts w:hint="eastAsia" w:ascii="方正小标宋_GBK" w:hAnsi="方正小标宋_GBK" w:eastAsia="方正小标宋_GBK" w:cs="方正小标宋_GBK"/>
          <w:bCs/>
          <w:color w:val="auto"/>
          <w:sz w:val="44"/>
          <w:szCs w:val="44"/>
        </w:rPr>
        <w:t>申报指南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hint="eastAsia" w:ascii="方正仿宋_GBK" w:hAnsi="仿宋" w:eastAsia="方正仿宋_GBK"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firstLine="640" w:firstLineChars="200"/>
        <w:textAlignment w:val="auto"/>
        <w:outlineLvl w:val="9"/>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为深入贯彻习近平总书记关于“三农”工作重要论述，全面</w:t>
      </w:r>
      <w:r>
        <w:rPr>
          <w:rFonts w:hint="eastAsia" w:ascii="方正仿宋_GBK" w:hAnsi="仿宋" w:eastAsia="方正仿宋_GBK" w:cs="仿宋"/>
          <w:color w:val="auto"/>
          <w:sz w:val="32"/>
          <w:szCs w:val="32"/>
          <w:lang w:val="en-US" w:eastAsia="zh-CN"/>
        </w:rPr>
        <w:t>落实</w:t>
      </w:r>
      <w:r>
        <w:rPr>
          <w:rFonts w:hint="eastAsia" w:ascii="方正仿宋_GBK" w:hAnsi="仿宋" w:eastAsia="方正仿宋_GBK" w:cs="仿宋"/>
          <w:color w:val="auto"/>
          <w:sz w:val="32"/>
          <w:szCs w:val="32"/>
        </w:rPr>
        <w:t>中央农村工作会议精神，紧紧围绕自治区党委</w:t>
      </w:r>
      <w:r>
        <w:rPr>
          <w:rFonts w:hint="eastAsia" w:ascii="方正仿宋_GBK" w:hAnsi="仿宋" w:eastAsia="方正仿宋_GBK" w:cs="仿宋"/>
          <w:color w:val="auto"/>
          <w:sz w:val="32"/>
          <w:szCs w:val="32"/>
          <w:lang w:eastAsia="zh-CN"/>
        </w:rPr>
        <w:t>、</w:t>
      </w:r>
      <w:r>
        <w:rPr>
          <w:rFonts w:hint="eastAsia" w:ascii="方正仿宋_GBK" w:hAnsi="仿宋" w:eastAsia="方正仿宋_GBK" w:cs="仿宋"/>
          <w:color w:val="auto"/>
          <w:sz w:val="32"/>
          <w:szCs w:val="32"/>
          <w:lang w:val="en-US" w:eastAsia="zh-CN"/>
        </w:rPr>
        <w:t>政府</w:t>
      </w:r>
      <w:r>
        <w:rPr>
          <w:rFonts w:hint="eastAsia" w:ascii="方正仿宋_GBK" w:hAnsi="仿宋" w:eastAsia="方正仿宋_GBK" w:cs="仿宋"/>
          <w:color w:val="auto"/>
          <w:sz w:val="32"/>
          <w:szCs w:val="32"/>
        </w:rPr>
        <w:t>关于推进乡村振兴高质量发展的战略部署要求，坚持以科技创新驱动农业高质量发展</w:t>
      </w:r>
      <w:r>
        <w:rPr>
          <w:rFonts w:hint="eastAsia" w:ascii="方正仿宋_GBK" w:hAnsi="仿宋" w:eastAsia="方正仿宋_GBK" w:cs="仿宋"/>
          <w:color w:val="auto"/>
          <w:sz w:val="32"/>
          <w:szCs w:val="32"/>
          <w:lang w:eastAsia="zh-CN"/>
        </w:rPr>
        <w:t>，</w:t>
      </w:r>
      <w:r>
        <w:rPr>
          <w:rFonts w:hint="eastAsia" w:ascii="方正仿宋_GBK" w:hAnsi="仿宋" w:eastAsia="方正仿宋_GBK" w:cs="仿宋"/>
          <w:color w:val="auto"/>
          <w:sz w:val="32"/>
          <w:szCs w:val="32"/>
          <w:lang w:val="en-US" w:eastAsia="zh-CN"/>
        </w:rPr>
        <w:t>引导乡村</w:t>
      </w:r>
      <w:r>
        <w:rPr>
          <w:rFonts w:hint="eastAsia" w:ascii="方正仿宋_GBK" w:hAnsi="仿宋" w:eastAsia="方正仿宋_GBK" w:cs="仿宋"/>
          <w:color w:val="auto"/>
          <w:sz w:val="32"/>
          <w:szCs w:val="32"/>
          <w:lang w:eastAsia="zh-CN"/>
        </w:rPr>
        <w:t>立足特色</w:t>
      </w:r>
      <w:r>
        <w:rPr>
          <w:rFonts w:hint="eastAsia" w:ascii="方正仿宋_GBK" w:hAnsi="仿宋" w:eastAsia="方正仿宋_GBK" w:cs="仿宋"/>
          <w:color w:val="auto"/>
          <w:sz w:val="32"/>
          <w:szCs w:val="32"/>
          <w:lang w:val="en-US" w:eastAsia="zh-CN"/>
        </w:rPr>
        <w:t>优势</w:t>
      </w:r>
      <w:r>
        <w:rPr>
          <w:rFonts w:hint="eastAsia" w:ascii="方正仿宋_GBK" w:hAnsi="仿宋" w:eastAsia="方正仿宋_GBK" w:cs="仿宋"/>
          <w:color w:val="auto"/>
          <w:sz w:val="32"/>
          <w:szCs w:val="32"/>
          <w:lang w:eastAsia="zh-CN"/>
        </w:rPr>
        <w:t>产业，</w:t>
      </w:r>
      <w:r>
        <w:rPr>
          <w:rFonts w:hint="eastAsia" w:ascii="方正仿宋_GBK" w:hAnsi="仿宋" w:eastAsia="方正仿宋_GBK" w:cs="仿宋"/>
          <w:color w:val="auto"/>
          <w:sz w:val="32"/>
          <w:szCs w:val="32"/>
          <w:lang w:val="en-US" w:eastAsia="zh-CN"/>
        </w:rPr>
        <w:t>加强</w:t>
      </w:r>
      <w:r>
        <w:rPr>
          <w:rFonts w:hint="eastAsia" w:ascii="方正仿宋_GBK" w:hAnsi="仿宋" w:eastAsia="方正仿宋_GBK" w:cs="仿宋"/>
          <w:color w:val="auto"/>
          <w:sz w:val="32"/>
          <w:szCs w:val="32"/>
          <w:lang w:eastAsia="zh-CN"/>
        </w:rPr>
        <w:t>乡村一二三产业深度融合，加快乡村科技成果转化，</w:t>
      </w:r>
      <w:r>
        <w:rPr>
          <w:rFonts w:hint="eastAsia" w:ascii="方正仿宋_GBK" w:hAnsi="仿宋" w:eastAsia="方正仿宋_GBK" w:cs="仿宋"/>
          <w:color w:val="auto"/>
          <w:sz w:val="32"/>
          <w:szCs w:val="32"/>
          <w:lang w:val="en-US" w:eastAsia="zh-CN"/>
        </w:rPr>
        <w:t>科技助力农业农村现代化发展</w:t>
      </w:r>
      <w:r>
        <w:rPr>
          <w:rFonts w:hint="eastAsia" w:ascii="方正仿宋_GBK" w:hAnsi="仿宋" w:eastAsia="方正仿宋_GBK" w:cs="仿宋"/>
          <w:color w:val="auto"/>
          <w:sz w:val="32"/>
          <w:szCs w:val="32"/>
          <w:lang w:eastAsia="zh-CN"/>
        </w:rPr>
        <w:t>，</w:t>
      </w:r>
      <w:r>
        <w:rPr>
          <w:rFonts w:hint="eastAsia" w:ascii="方正仿宋_GBK" w:hAnsi="仿宋" w:eastAsia="方正仿宋_GBK" w:cs="仿宋"/>
          <w:bCs/>
          <w:color w:val="auto"/>
          <w:spacing w:val="4"/>
          <w:sz w:val="32"/>
          <w:szCs w:val="32"/>
        </w:rPr>
        <w:t>自</w:t>
      </w:r>
      <w:r>
        <w:rPr>
          <w:rFonts w:hint="eastAsia" w:ascii="方正仿宋_GBK" w:hAnsi="仿宋" w:eastAsia="方正仿宋_GBK" w:cs="仿宋"/>
          <w:color w:val="auto"/>
          <w:sz w:val="32"/>
          <w:szCs w:val="32"/>
        </w:rPr>
        <w:t>治区科技厅</w:t>
      </w:r>
      <w:r>
        <w:rPr>
          <w:rFonts w:hint="eastAsia" w:ascii="方正仿宋_GBK" w:hAnsi="仿宋" w:eastAsia="方正仿宋_GBK" w:cs="仿宋"/>
          <w:color w:val="auto"/>
          <w:sz w:val="32"/>
          <w:szCs w:val="32"/>
          <w:lang w:val="en-US" w:eastAsia="zh-CN"/>
        </w:rPr>
        <w:t>将</w:t>
      </w:r>
      <w:r>
        <w:rPr>
          <w:rFonts w:hint="eastAsia" w:ascii="方正仿宋_GBK" w:hAnsi="仿宋" w:eastAsia="方正仿宋_GBK" w:cs="仿宋"/>
          <w:color w:val="auto"/>
          <w:sz w:val="32"/>
          <w:szCs w:val="32"/>
        </w:rPr>
        <w:t>启动202</w:t>
      </w:r>
      <w:r>
        <w:rPr>
          <w:rFonts w:hint="eastAsia" w:ascii="方正仿宋_GBK" w:hAnsi="仿宋" w:eastAsia="方正仿宋_GBK" w:cs="仿宋"/>
          <w:color w:val="auto"/>
          <w:sz w:val="32"/>
          <w:szCs w:val="32"/>
          <w:lang w:val="en-US" w:eastAsia="zh-CN"/>
        </w:rPr>
        <w:t>3</w:t>
      </w:r>
      <w:r>
        <w:rPr>
          <w:rFonts w:hint="eastAsia" w:ascii="方正仿宋_GBK" w:hAnsi="仿宋" w:eastAsia="方正仿宋_GBK" w:cs="仿宋"/>
          <w:color w:val="auto"/>
          <w:sz w:val="32"/>
          <w:szCs w:val="32"/>
        </w:rPr>
        <w:t>年乡村振兴产业发展科技行动项目申报工作。</w:t>
      </w:r>
    </w:p>
    <w:p>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20" w:lineRule="exact"/>
        <w:ind w:firstLine="640" w:firstLineChars="200"/>
        <w:jc w:val="both"/>
        <w:textAlignment w:val="auto"/>
        <w:outlineLvl w:val="9"/>
        <w:rPr>
          <w:rFonts w:ascii="方正黑体_GBK" w:hAnsi="方正小标宋简体" w:eastAsia="方正黑体_GBK" w:cs="方正小标宋简体"/>
          <w:color w:val="auto"/>
          <w:sz w:val="32"/>
          <w:szCs w:val="32"/>
        </w:rPr>
      </w:pPr>
      <w:r>
        <w:rPr>
          <w:rFonts w:hint="eastAsia" w:ascii="方正黑体_GBK" w:hAnsi="方正小标宋简体" w:eastAsia="方正黑体_GBK" w:cs="方正小标宋简体"/>
          <w:color w:val="auto"/>
          <w:sz w:val="32"/>
          <w:szCs w:val="32"/>
        </w:rPr>
        <w:t>支持方向</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jc w:val="both"/>
        <w:textAlignment w:val="auto"/>
        <w:outlineLvl w:val="9"/>
        <w:rPr>
          <w:rFonts w:hint="eastAsia" w:ascii="方正黑体_GBK" w:hAnsi="方正小标宋简体" w:eastAsia="方正黑体_GBK" w:cs="方正小标宋简体"/>
          <w:color w:val="auto"/>
          <w:sz w:val="32"/>
          <w:szCs w:val="32"/>
        </w:rPr>
      </w:pPr>
      <w:r>
        <w:rPr>
          <w:rFonts w:hint="eastAsia" w:ascii="仿宋" w:hAnsi="仿宋" w:eastAsia="仿宋" w:cs="仿宋"/>
          <w:color w:val="auto"/>
          <w:sz w:val="32"/>
          <w:szCs w:val="32"/>
        </w:rPr>
        <w:t>坚持</w:t>
      </w:r>
      <w:r>
        <w:rPr>
          <w:rFonts w:hint="eastAsia" w:ascii="仿宋" w:hAnsi="仿宋" w:eastAsia="仿宋" w:cs="仿宋"/>
          <w:color w:val="auto"/>
          <w:sz w:val="32"/>
          <w:szCs w:val="32"/>
          <w:lang w:val="en-US" w:eastAsia="zh-CN"/>
        </w:rPr>
        <w:t>以乡村</w:t>
      </w:r>
      <w:r>
        <w:rPr>
          <w:rFonts w:hint="eastAsia" w:ascii="仿宋" w:hAnsi="仿宋" w:eastAsia="仿宋" w:cs="仿宋"/>
          <w:color w:val="auto"/>
          <w:sz w:val="32"/>
          <w:szCs w:val="32"/>
        </w:rPr>
        <w:t>产业科技需求</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导向，</w:t>
      </w:r>
      <w:r>
        <w:rPr>
          <w:rFonts w:hint="eastAsia" w:ascii="仿宋" w:hAnsi="仿宋" w:eastAsia="仿宋" w:cs="仿宋"/>
          <w:color w:val="auto"/>
          <w:sz w:val="32"/>
          <w:szCs w:val="32"/>
          <w:lang w:eastAsia="zh-CN"/>
        </w:rPr>
        <w:t>对标乡村振兴产业发展重点任务，</w:t>
      </w:r>
      <w:r>
        <w:rPr>
          <w:rFonts w:hint="eastAsia" w:ascii="仿宋" w:hAnsi="仿宋" w:eastAsia="仿宋" w:cs="仿宋"/>
          <w:color w:val="auto"/>
          <w:sz w:val="32"/>
          <w:szCs w:val="32"/>
        </w:rPr>
        <w:t>围绕</w:t>
      </w:r>
      <w:r>
        <w:rPr>
          <w:rFonts w:hint="eastAsia" w:ascii="仿宋" w:hAnsi="仿宋" w:eastAsia="仿宋" w:cs="仿宋"/>
          <w:color w:val="auto"/>
          <w:sz w:val="32"/>
          <w:szCs w:val="32"/>
          <w:lang w:val="en-US" w:eastAsia="zh-CN"/>
        </w:rPr>
        <w:t>八大产业集群建设中</w:t>
      </w:r>
      <w:r>
        <w:rPr>
          <w:rFonts w:hint="eastAsia" w:ascii="仿宋" w:hAnsi="仿宋" w:eastAsia="仿宋" w:cs="仿宋"/>
          <w:color w:val="auto"/>
          <w:sz w:val="32"/>
          <w:szCs w:val="32"/>
        </w:rPr>
        <w:t>粮油、棉花、绿色有机果蔬、优质畜产品</w:t>
      </w:r>
      <w:r>
        <w:rPr>
          <w:rFonts w:hint="eastAsia" w:ascii="仿宋" w:hAnsi="仿宋" w:eastAsia="仿宋" w:cs="仿宋"/>
          <w:color w:val="auto"/>
          <w:sz w:val="32"/>
          <w:szCs w:val="32"/>
          <w:lang w:val="en-US" w:eastAsia="zh-CN"/>
        </w:rPr>
        <w:t>等特色优势产业培育</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聚焦乡村高效农业、畜禽养殖、农副产品加工、乡村旅游等成果转化示范，</w:t>
      </w:r>
      <w:r>
        <w:rPr>
          <w:rFonts w:hint="eastAsia" w:ascii="仿宋" w:hAnsi="仿宋" w:eastAsia="仿宋" w:cs="仿宋"/>
          <w:color w:val="auto"/>
          <w:sz w:val="32"/>
          <w:szCs w:val="32"/>
          <w:lang w:eastAsia="zh-CN"/>
        </w:rPr>
        <w:t>按照“一二三产业融合、种养加销一体”的思路，支持县域农业龙头企业联合科研院所和高校，加快产学研融合，转化新技术，引进新成果，加</w:t>
      </w:r>
      <w:r>
        <w:rPr>
          <w:rFonts w:hint="eastAsia" w:ascii="仿宋" w:hAnsi="仿宋" w:eastAsia="仿宋" w:cs="仿宋"/>
          <w:color w:val="auto"/>
          <w:sz w:val="32"/>
          <w:szCs w:val="32"/>
          <w:lang w:val="en-US" w:eastAsia="zh-CN"/>
        </w:rPr>
        <w:t>速</w:t>
      </w:r>
      <w:r>
        <w:rPr>
          <w:rFonts w:hint="eastAsia" w:ascii="仿宋" w:hAnsi="仿宋" w:eastAsia="仿宋" w:cs="仿宋"/>
          <w:color w:val="auto"/>
          <w:sz w:val="32"/>
          <w:szCs w:val="32"/>
          <w:lang w:eastAsia="zh-CN"/>
        </w:rPr>
        <w:t>成果转化及示范推广，培育壮大龙头企业、农民合作社，带动农民生产增收和就业增收。</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方正黑体_GBK" w:hAnsi="方正小标宋简体" w:eastAsia="方正黑体_GBK" w:cs="方正小标宋简体"/>
          <w:color w:val="auto"/>
          <w:kern w:val="0"/>
          <w:sz w:val="32"/>
          <w:szCs w:val="32"/>
          <w:lang w:val="en-US" w:eastAsia="zh-CN" w:bidi="ar-SA"/>
        </w:rPr>
      </w:pPr>
      <w:r>
        <w:rPr>
          <w:rFonts w:hint="eastAsia" w:ascii="方正黑体_GBK" w:hAnsi="方正小标宋简体" w:eastAsia="方正黑体_GBK" w:cs="方正小标宋简体"/>
          <w:color w:val="auto"/>
          <w:kern w:val="0"/>
          <w:sz w:val="32"/>
          <w:szCs w:val="32"/>
          <w:lang w:val="en-US" w:eastAsia="zh-CN" w:bidi="ar-SA"/>
        </w:rPr>
        <w:t>二、支持重点</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着重支持35个巩固提升县补齐区域性发展短板；支持20个示范引领县高起点、高标准推进乡村振兴战略；引导38个稳步发展县“强弱项”抓重点，实现后发赶超。</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方正黑体_GBK" w:hAnsi="方正小标宋简体" w:eastAsia="方正黑体_GBK" w:cs="方正小标宋简体"/>
          <w:color w:val="auto"/>
          <w:kern w:val="0"/>
          <w:sz w:val="32"/>
          <w:szCs w:val="32"/>
          <w:lang w:val="en-US" w:eastAsia="zh-CN" w:bidi="ar-SA"/>
        </w:rPr>
      </w:pPr>
      <w:r>
        <w:rPr>
          <w:rFonts w:hint="eastAsia" w:ascii="方正黑体_GBK" w:hAnsi="方正小标宋简体" w:eastAsia="方正黑体_GBK" w:cs="方正小标宋简体"/>
          <w:color w:val="auto"/>
          <w:kern w:val="0"/>
          <w:sz w:val="32"/>
          <w:szCs w:val="32"/>
          <w:lang w:val="en-US" w:eastAsia="zh-CN" w:bidi="ar-SA"/>
        </w:rPr>
        <w:t>三、申报要求和条件</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2" w:firstLineChars="200"/>
        <w:textAlignment w:val="auto"/>
        <w:rPr>
          <w:rFonts w:hint="eastAsia" w:ascii="仿宋" w:hAnsi="仿宋" w:eastAsia="仿宋" w:cs="仿宋"/>
          <w:b/>
          <w:bCs/>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1.项目实施县（市、区）应具备的条件</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（1）党政主要领导重视科技工作，亲自抓乡村产业发展科技行动项目；</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（2）项目涉及产业已列入当地经济、社会及科技发展规划。</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2" w:firstLineChars="200"/>
        <w:textAlignment w:val="auto"/>
        <w:outlineLvl w:val="9"/>
        <w:rPr>
          <w:rFonts w:ascii="方正仿宋_GBK" w:hAnsi="宋体" w:eastAsia="方正仿宋_GBK" w:cs="宋体"/>
          <w:b/>
          <w:bCs/>
          <w:color w:val="auto"/>
          <w:kern w:val="0"/>
          <w:sz w:val="32"/>
          <w:szCs w:val="32"/>
        </w:rPr>
      </w:pPr>
      <w:r>
        <w:rPr>
          <w:rFonts w:hint="eastAsia" w:ascii="方正仿宋_GBK" w:hAnsi="宋体" w:eastAsia="方正仿宋_GBK" w:cs="宋体"/>
          <w:b/>
          <w:bCs/>
          <w:color w:val="auto"/>
          <w:kern w:val="0"/>
          <w:sz w:val="32"/>
          <w:szCs w:val="32"/>
          <w:lang w:val="en-US" w:eastAsia="zh-CN"/>
        </w:rPr>
        <w:t>2</w:t>
      </w:r>
      <w:r>
        <w:rPr>
          <w:rFonts w:hint="eastAsia" w:ascii="方正仿宋_GBK" w:hAnsi="宋体" w:eastAsia="方正仿宋_GBK" w:cs="宋体"/>
          <w:b/>
          <w:bCs/>
          <w:color w:val="auto"/>
          <w:kern w:val="0"/>
          <w:sz w:val="32"/>
          <w:szCs w:val="32"/>
        </w:rPr>
        <w:t>.其他要求</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（1）项目市场前景好，对当地农业示范带动作用明显；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（2）项目承担单位自筹经费与财政拨款比例不低于1:1；</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（3）项目实施期</w:t>
      </w:r>
      <w:r>
        <w:rPr>
          <w:rFonts w:hint="eastAsia" w:ascii="方正仿宋_GBK" w:hAnsi="方正仿宋_GBK" w:eastAsia="方正仿宋_GBK" w:cs="方正仿宋_GBK"/>
          <w:color w:val="auto"/>
          <w:kern w:val="0"/>
          <w:sz w:val="32"/>
          <w:szCs w:val="32"/>
        </w:rPr>
        <w:t>为2年。</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outlineLvl w:val="9"/>
        <w:rPr>
          <w:rFonts w:hint="eastAsia" w:ascii="方正黑体_GBK" w:hAnsi="方正小标宋简体" w:eastAsia="方正黑体_GBK" w:cs="方正小标宋简体"/>
          <w:color w:val="auto"/>
          <w:sz w:val="32"/>
          <w:szCs w:val="32"/>
        </w:rPr>
      </w:pPr>
      <w:r>
        <w:rPr>
          <w:rFonts w:hint="eastAsia" w:ascii="方正黑体_GBK" w:hAnsi="方正小标宋简体" w:eastAsia="方正黑体_GBK" w:cs="方正小标宋简体"/>
          <w:color w:val="auto"/>
          <w:sz w:val="32"/>
          <w:szCs w:val="32"/>
        </w:rPr>
        <w:t>四、申报方式与材料</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jc w:val="left"/>
        <w:textAlignment w:val="auto"/>
        <w:outlineLvl w:val="9"/>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1.项目通过“新疆科技计划管理公共服务平台”进行网上申报，首次申报需进行单位注册。申报项目受理后，不能更改申报单位和负责人。网上平台由新疆科技项目服务中心提供相关业务咨询。</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jc w:val="left"/>
        <w:textAlignment w:val="auto"/>
        <w:outlineLvl w:val="9"/>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2.在线填写的申请材料由各推荐单位在“新疆科技计划管理公共服务平台”上进行审核推荐，并在线提交至自治区科技厅。</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jc w:val="left"/>
        <w:textAlignment w:val="auto"/>
        <w:outlineLvl w:val="9"/>
        <w:rPr>
          <w:rFonts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3.申报材料纸质件提交要求以自治区科技厅年度科技计划项目申报指南通知为准。</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outlineLvl w:val="9"/>
        <w:rPr>
          <w:rFonts w:ascii="方正黑体_GBK" w:hAnsi="方正小标宋简体" w:eastAsia="方正黑体_GBK" w:cs="方正小标宋简体"/>
          <w:color w:val="auto"/>
          <w:sz w:val="32"/>
          <w:szCs w:val="32"/>
        </w:rPr>
      </w:pPr>
      <w:r>
        <w:rPr>
          <w:rFonts w:hint="eastAsia" w:ascii="方正黑体_GBK" w:hAnsi="方正小标宋简体" w:eastAsia="方正黑体_GBK" w:cs="方正小标宋简体"/>
          <w:color w:val="auto"/>
          <w:sz w:val="32"/>
          <w:szCs w:val="32"/>
        </w:rPr>
        <w:t>五、联系方式</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outlineLvl w:val="9"/>
        <w:rPr>
          <w:rFonts w:ascii="方正黑体_GBK" w:hAnsi="宋体" w:eastAsia="方正黑体_GBK" w:cs="宋体"/>
          <w:color w:val="auto"/>
          <w:sz w:val="32"/>
          <w:szCs w:val="32"/>
        </w:rPr>
      </w:pPr>
      <w:r>
        <w:rPr>
          <w:rFonts w:hint="eastAsia" w:ascii="方正仿宋_GBK" w:hAnsi="宋体" w:eastAsia="方正仿宋_GBK" w:cs="宋体"/>
          <w:color w:val="auto"/>
          <w:sz w:val="32"/>
          <w:szCs w:val="32"/>
          <w:lang w:val="en-US" w:eastAsia="zh-CN"/>
        </w:rPr>
        <w:t>1.</w:t>
      </w:r>
      <w:r>
        <w:rPr>
          <w:rFonts w:hint="eastAsia" w:ascii="方正仿宋_GBK" w:hAnsi="宋体" w:eastAsia="方正仿宋_GBK" w:cs="宋体"/>
          <w:color w:val="auto"/>
          <w:sz w:val="32"/>
          <w:szCs w:val="32"/>
        </w:rPr>
        <w:t>农村科技处</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联</w:t>
      </w:r>
      <w:r>
        <w:rPr>
          <w:rFonts w:hint="eastAsia" w:ascii="方正仿宋_GBK" w:hAnsi="宋体" w:eastAsia="仿宋_GB2312" w:cs="宋体"/>
          <w:color w:val="auto"/>
          <w:sz w:val="32"/>
          <w:szCs w:val="32"/>
        </w:rPr>
        <w:t xml:space="preserve"> </w:t>
      </w:r>
      <w:r>
        <w:rPr>
          <w:rFonts w:hint="eastAsia" w:ascii="方正仿宋_GBK" w:hAnsi="宋体" w:eastAsia="方正仿宋_GBK" w:cs="宋体"/>
          <w:color w:val="auto"/>
          <w:sz w:val="32"/>
          <w:szCs w:val="32"/>
        </w:rPr>
        <w:t>系 人：</w:t>
      </w:r>
      <w:r>
        <w:rPr>
          <w:rFonts w:hint="eastAsia" w:ascii="方正仿宋_GBK" w:hAnsi="宋体" w:eastAsia="方正仿宋_GBK" w:cs="宋体"/>
          <w:color w:val="auto"/>
          <w:sz w:val="32"/>
          <w:szCs w:val="32"/>
          <w:lang w:val="en-US" w:eastAsia="zh-CN"/>
        </w:rPr>
        <w:t>陶柳婷</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outlineLvl w:val="9"/>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联系电话：0991-3822204</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outlineLvl w:val="9"/>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2.科技人才开发中心</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outlineLvl w:val="9"/>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联 系 人：韦书</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outlineLvl w:val="9"/>
      </w:pPr>
      <w:r>
        <w:rPr>
          <w:rFonts w:hint="eastAsia" w:ascii="方正仿宋_GBK" w:hAnsi="宋体" w:eastAsia="方正仿宋_GBK" w:cs="宋体"/>
          <w:color w:val="auto"/>
          <w:sz w:val="32"/>
          <w:szCs w:val="32"/>
          <w:lang w:val="en-US" w:eastAsia="zh-CN"/>
        </w:rPr>
        <w:t>联系电话：0991-3838454</w:t>
      </w:r>
    </w:p>
    <w:sectPr>
      <w:footerReference r:id="rId3" w:type="default"/>
      <w:pgSz w:w="11906" w:h="16838"/>
      <w:pgMar w:top="2098" w:right="1587" w:bottom="1440"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FB8E7"/>
    <w:multiLevelType w:val="singleLevel"/>
    <w:tmpl w:val="601FB8E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YmRiNmVhOGU2MWJkODc0NzU0ZDllMTY0NzAxYzEifQ=="/>
  </w:docVars>
  <w:rsids>
    <w:rsidRoot w:val="29D53D89"/>
    <w:rsid w:val="29D53D89"/>
    <w:rsid w:val="33BF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2023-04-11T17:22:00Z</dcterms:created>
  <dc:creator>Administrator</dc:creator>
  <cp:lastModifiedBy>greatwall</cp:lastModifiedBy>
  <cp:lastPrinted>2023-04-13T10:00:39Z</cp:lastPrinted>
  <dcterms:modified xsi:type="dcterms:W3CDTF">2023-04-13T11:44:31Z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D1E2FB0CBCA0437198609E4F2072215E</vt:lpwstr>
  </property>
</Properties>
</file>