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重新提名成果申请表</w:t>
      </w: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提名单位（签章）：</w:t>
      </w:r>
    </w:p>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w:t>
      </w:r>
      <w:r>
        <w:rPr>
          <w:rFonts w:hint="eastAsia" w:ascii="方正仿宋_GBK" w:hAnsi="方正仿宋_GBK" w:eastAsia="方正仿宋_GBK" w:cs="方正仿宋_GBK"/>
          <w:sz w:val="28"/>
          <w:szCs w:val="28"/>
          <w:lang w:val="en-US" w:eastAsia="zh-CN"/>
        </w:rPr>
        <w:t>专家</w:t>
      </w:r>
      <w:r>
        <w:rPr>
          <w:rFonts w:hint="eastAsia" w:ascii="方正仿宋_GBK" w:hAnsi="方正仿宋_GBK" w:eastAsia="方正仿宋_GBK" w:cs="方正仿宋_GBK"/>
          <w:sz w:val="28"/>
          <w:szCs w:val="28"/>
        </w:rPr>
        <w:t xml:space="preserve">（签字）：               重新提名时间：   年  月  日    </w:t>
      </w:r>
    </w:p>
    <w:tbl>
      <w:tblPr>
        <w:tblStyle w:val="3"/>
        <w:tblW w:w="8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298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材料名称</w:t>
            </w:r>
          </w:p>
        </w:tc>
        <w:tc>
          <w:tcPr>
            <w:tcW w:w="2988" w:type="dxa"/>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上次提名</w:t>
            </w:r>
          </w:p>
        </w:tc>
        <w:tc>
          <w:tcPr>
            <w:tcW w:w="2851" w:type="dxa"/>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本次提名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提名年度</w:t>
            </w:r>
          </w:p>
        </w:tc>
        <w:tc>
          <w:tcPr>
            <w:tcW w:w="2988" w:type="dxa"/>
            <w:vAlign w:val="top"/>
          </w:tcPr>
          <w:p>
            <w:pPr>
              <w:keepNext w:val="0"/>
              <w:keepLines w:val="0"/>
              <w:pageBreakBefore w:val="0"/>
              <w:kinsoku/>
              <w:wordWrap/>
              <w:overflowPunct/>
              <w:topLinePunct w:val="0"/>
              <w:autoSpaceDE/>
              <w:autoSpaceDN/>
              <w:bidi w:val="0"/>
              <w:adjustRightInd/>
              <w:spacing w:line="560" w:lineRule="exact"/>
              <w:ind w:right="-395" w:rightChars="-188"/>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成果</w:t>
            </w:r>
            <w:r>
              <w:rPr>
                <w:rFonts w:hint="eastAsia" w:ascii="方正仿宋_GBK" w:hAnsi="方正仿宋_GBK" w:eastAsia="方正仿宋_GBK" w:cs="方正仿宋_GBK"/>
                <w:sz w:val="28"/>
                <w:szCs w:val="28"/>
              </w:rPr>
              <w:t>名称</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提名奖励等级</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提名单位（</w:t>
            </w:r>
            <w:r>
              <w:rPr>
                <w:rFonts w:hint="eastAsia" w:ascii="方正仿宋_GBK" w:hAnsi="方正仿宋_GBK" w:eastAsia="方正仿宋_GBK" w:cs="方正仿宋_GBK"/>
                <w:sz w:val="28"/>
                <w:szCs w:val="28"/>
                <w:lang w:val="en-US" w:eastAsia="zh-CN"/>
              </w:rPr>
              <w:t>专家</w:t>
            </w:r>
            <w:r>
              <w:rPr>
                <w:rFonts w:hint="eastAsia" w:ascii="方正仿宋_GBK" w:hAnsi="方正仿宋_GBK" w:eastAsia="方正仿宋_GBK" w:cs="方正仿宋_GBK"/>
                <w:sz w:val="28"/>
                <w:szCs w:val="28"/>
              </w:rPr>
              <w:t>）</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66675</wp:posOffset>
                      </wp:positionV>
                      <wp:extent cx="857250" cy="314325"/>
                      <wp:effectExtent l="1905" t="4445" r="17145" b="5080"/>
                      <wp:wrapNone/>
                      <wp:docPr id="1" name="直接连接符 2"/>
                      <wp:cNvGraphicFramePr/>
                      <a:graphic xmlns:a="http://schemas.openxmlformats.org/drawingml/2006/main">
                        <a:graphicData uri="http://schemas.microsoft.com/office/word/2010/wordprocessingShape">
                          <wps:wsp>
                            <wps:cNvCnPr/>
                            <wps:spPr>
                              <a:xfrm flipV="1">
                                <a:off x="5208905" y="3755390"/>
                                <a:ext cx="857250" cy="314325"/>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2" o:spid="_x0000_s1026" o:spt="20" style="position:absolute;left:0pt;flip:y;margin-left:27.15pt;margin-top:5.25pt;height:24.75pt;width:67.5pt;z-index:251658240;mso-width-relative:page;mso-height-relative:page;" stroked="t" coordsize="21600,21600" o:gfxdata="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X+VfWAAAACAEA&#10;AA8AAAAAAAAAAQAgAAAAIgAAAGRycy9kb3ducmV2LnhtbFBLAQIUABQAAAAIAIdO4kD1CXFy4wEA&#10;AIsDAAAOAAAAAAAAAAEAIAAAACUBAABkcnMvZTJvRG9jLnhtbFBLBQYAAAAABgAGAFkBAAB6BQAA&#10;AAA=&#10;">
                      <v:path arrowok="t"/>
                      <v:fill focussize="0,0"/>
                      <v:stroke weight="0.5pt" joinstyle="miter"/>
                      <v:imagedata o:title=""/>
                      <o:lock v:ext="edit"/>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完成单位</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完成人员</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创新内容（创新点）</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经济效益（万元）</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社会效益</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发表论文题目、作者、</w:t>
            </w:r>
          </w:p>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刊名、年卷期</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获得的自主知识产权</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kinsoku/>
              <w:wordWrap/>
              <w:overflowPunct/>
              <w:topLinePunct w:val="0"/>
              <w:autoSpaceDE/>
              <w:autoSpaceDN/>
              <w:bidi w:val="0"/>
              <w:adjustRightInd/>
              <w:spacing w:line="560" w:lineRule="exact"/>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应用推广单位名称</w:t>
            </w:r>
          </w:p>
        </w:tc>
        <w:tc>
          <w:tcPr>
            <w:tcW w:w="2988"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c>
          <w:tcPr>
            <w:tcW w:w="2851" w:type="dxa"/>
            <w:vAlign w:val="top"/>
          </w:tcPr>
          <w:p>
            <w:pPr>
              <w:keepNext w:val="0"/>
              <w:keepLines w:val="0"/>
              <w:pageBreakBefore w:val="0"/>
              <w:kinsoku/>
              <w:wordWrap/>
              <w:overflowPunct/>
              <w:topLinePunct w:val="0"/>
              <w:autoSpaceDE/>
              <w:autoSpaceDN/>
              <w:bidi w:val="0"/>
              <w:adjustRightInd/>
              <w:spacing w:line="560" w:lineRule="exact"/>
              <w:textAlignment w:val="auto"/>
              <w:rPr>
                <w:rFonts w:ascii="方正仿宋_GBK" w:hAnsi="方正仿宋_GBK" w:eastAsia="方正仿宋_GBK" w:cs="方正仿宋_GBK"/>
                <w:sz w:val="28"/>
                <w:szCs w:val="28"/>
              </w:rPr>
            </w:pPr>
          </w:p>
        </w:tc>
      </w:tr>
    </w:tbl>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注：提名单位及提名专家以上材料重新提名前后有改变的需提供相关证明材料，并将该附件及证明材料刻录至光盘内（电子版）一并提交至自治区科技厅成果转化与科技奖励处。</w:t>
      </w:r>
    </w:p>
    <w:p>
      <w:pPr>
        <w:keepNext w:val="0"/>
        <w:keepLines w:val="0"/>
        <w:pageBreakBefore w:val="0"/>
        <w:kinsoku/>
        <w:wordWrap/>
        <w:overflowPunct/>
        <w:topLinePunct w:val="0"/>
        <w:autoSpaceDE/>
        <w:autoSpaceDN/>
        <w:bidi w:val="0"/>
        <w:adjustRightInd/>
        <w:spacing w:line="560" w:lineRule="exact"/>
        <w:jc w:val="left"/>
        <w:textAlignment w:val="auto"/>
        <w:outlineLvl w:val="0"/>
        <w:rPr>
          <w:rFonts w:hint="eastAsia" w:ascii="黑体" w:hAnsi="黑体" w:eastAsia="黑体" w:cs="宋体"/>
          <w:sz w:val="32"/>
          <w:szCs w:val="32"/>
          <w:lang w:val="en-US" w:eastAsia="zh-CN"/>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D75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2022-06-17T12:14:04Z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