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F3" w:rsidRPr="00162BF3" w:rsidRDefault="00162BF3" w:rsidP="00162BF3">
      <w:pPr>
        <w:adjustRightInd w:val="0"/>
        <w:snapToGrid w:val="0"/>
        <w:spacing w:line="560" w:lineRule="exact"/>
        <w:rPr>
          <w:rFonts w:ascii="方正仿宋_GBK" w:eastAsia="方正仿宋_GBK" w:hAnsi="宋体"/>
          <w:color w:val="000000" w:themeColor="text1"/>
          <w:sz w:val="32"/>
          <w:szCs w:val="32"/>
        </w:rPr>
      </w:pPr>
      <w:r w:rsidRPr="00162BF3">
        <w:rPr>
          <w:rFonts w:ascii="方正仿宋_GBK" w:eastAsia="方正仿宋_GBK" w:hAnsi="宋体" w:hint="eastAsia"/>
          <w:color w:val="000000" w:themeColor="text1"/>
          <w:sz w:val="32"/>
          <w:szCs w:val="32"/>
        </w:rPr>
        <w:t>附件3</w:t>
      </w:r>
    </w:p>
    <w:p w:rsidR="00162BF3" w:rsidRDefault="00162BF3" w:rsidP="00162BF3">
      <w:pPr>
        <w:adjustRightInd w:val="0"/>
        <w:snapToGrid w:val="0"/>
        <w:spacing w:line="560" w:lineRule="exact"/>
        <w:rPr>
          <w:rFonts w:ascii="方正小标宋_GBK" w:eastAsia="方正小标宋_GBK"/>
          <w:sz w:val="40"/>
          <w:szCs w:val="40"/>
        </w:rPr>
      </w:pPr>
    </w:p>
    <w:p w:rsidR="00402680" w:rsidRPr="00162BF3" w:rsidRDefault="004713A5" w:rsidP="00162BF3">
      <w:pPr>
        <w:adjustRightInd w:val="0"/>
        <w:snapToGrid w:val="0"/>
        <w:spacing w:line="560" w:lineRule="exact"/>
        <w:jc w:val="center"/>
        <w:rPr>
          <w:rFonts w:ascii="方正小标宋_GBK" w:eastAsia="方正小标宋_GBK"/>
          <w:sz w:val="40"/>
          <w:szCs w:val="40"/>
        </w:rPr>
      </w:pPr>
      <w:r w:rsidRPr="00162BF3">
        <w:rPr>
          <w:rFonts w:ascii="方正小标宋_GBK" w:eastAsia="方正小标宋_GBK" w:hint="eastAsia"/>
          <w:sz w:val="40"/>
          <w:szCs w:val="40"/>
        </w:rPr>
        <w:t>2021</w:t>
      </w:r>
      <w:r w:rsidR="00D575FE">
        <w:rPr>
          <w:rFonts w:ascii="方正小标宋_GBK" w:eastAsia="方正小标宋_GBK" w:hint="eastAsia"/>
          <w:sz w:val="40"/>
          <w:szCs w:val="40"/>
        </w:rPr>
        <w:t>年自治区创新环境（人才、基地）建设专项—</w:t>
      </w:r>
      <w:r w:rsidRPr="00162BF3">
        <w:rPr>
          <w:rFonts w:ascii="方正小标宋_GBK" w:eastAsia="方正小标宋_GBK" w:hint="eastAsia"/>
          <w:sz w:val="40"/>
          <w:szCs w:val="40"/>
        </w:rPr>
        <w:t>科技创新基地建设计划（资源共享平台建设）项目申报指南</w:t>
      </w:r>
    </w:p>
    <w:p w:rsidR="00402680" w:rsidRPr="00D575FE" w:rsidRDefault="00402680">
      <w:pPr>
        <w:adjustRightInd w:val="0"/>
        <w:snapToGrid w:val="0"/>
        <w:spacing w:line="560" w:lineRule="exact"/>
        <w:ind w:firstLineChars="200" w:firstLine="640"/>
        <w:rPr>
          <w:rFonts w:ascii="方正仿宋_GBK" w:eastAsia="方正仿宋_GBK" w:hAnsi="宋体" w:cs="方正仿宋_GBK"/>
          <w:bCs/>
          <w:sz w:val="32"/>
          <w:szCs w:val="32"/>
        </w:rPr>
      </w:pPr>
    </w:p>
    <w:p w:rsidR="00402680" w:rsidRDefault="004713A5">
      <w:p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color w:val="000000" w:themeColor="text1"/>
          <w:sz w:val="32"/>
          <w:szCs w:val="32"/>
        </w:rPr>
        <w:t>自治区</w:t>
      </w:r>
      <w:r>
        <w:rPr>
          <w:rFonts w:ascii="方正仿宋_GBK" w:eastAsia="方正仿宋_GBK" w:hAnsi="宋体" w:hint="eastAsia"/>
          <w:color w:val="000000" w:themeColor="text1"/>
          <w:sz w:val="32"/>
          <w:szCs w:val="32"/>
        </w:rPr>
        <w:t>科技创新基地建设计划</w:t>
      </w:r>
      <w:r w:rsidR="0092546A" w:rsidRPr="0092546A">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资源共享平台建设主要支持</w:t>
      </w:r>
      <w:r>
        <w:rPr>
          <w:rFonts w:ascii="方正仿宋_GBK" w:eastAsia="方正仿宋_GBK" w:hAnsi="宋体" w:hint="eastAsia"/>
          <w:color w:val="000000" w:themeColor="text1"/>
          <w:sz w:val="32"/>
          <w:szCs w:val="32"/>
          <w:lang w:val="zh-CN"/>
        </w:rPr>
        <w:t>围绕</w:t>
      </w:r>
      <w:r>
        <w:rPr>
          <w:rFonts w:ascii="方正仿宋_GBK" w:eastAsia="方正仿宋_GBK" w:hAnsi="宋体" w:hint="eastAsia"/>
          <w:color w:val="000000" w:themeColor="text1"/>
          <w:sz w:val="32"/>
          <w:szCs w:val="32"/>
        </w:rPr>
        <w:t>我区</w:t>
      </w:r>
      <w:r>
        <w:rPr>
          <w:rFonts w:ascii="方正仿宋_GBK" w:eastAsia="方正仿宋_GBK" w:hAnsi="宋体" w:hint="eastAsia"/>
          <w:color w:val="000000" w:themeColor="text1"/>
          <w:sz w:val="32"/>
          <w:szCs w:val="32"/>
          <w:lang w:val="zh-CN"/>
        </w:rPr>
        <w:t>深入实施创新驱动发展战略，利用科研设备设施、科学数据、生物种质、实验材料等科技资源而设立的专业化、综合性公共服务平台，</w:t>
      </w:r>
      <w:r>
        <w:rPr>
          <w:rFonts w:ascii="方正仿宋_GBK" w:eastAsia="方正仿宋_GBK" w:hAnsi="宋体" w:hint="eastAsia"/>
          <w:color w:val="000000" w:themeColor="text1"/>
          <w:sz w:val="32"/>
          <w:szCs w:val="32"/>
        </w:rPr>
        <w:t>旨在</w:t>
      </w:r>
      <w:r>
        <w:rPr>
          <w:rFonts w:ascii="方正仿宋_GBK" w:eastAsia="方正仿宋_GBK" w:hAnsi="宋体" w:hint="eastAsia"/>
          <w:color w:val="000000" w:themeColor="text1"/>
          <w:sz w:val="32"/>
          <w:szCs w:val="32"/>
          <w:lang w:val="zh-CN"/>
        </w:rPr>
        <w:t>为全社会的科学研究、技术创新和社会民生提供共享服务的网络化、社会化的组织体系。</w:t>
      </w:r>
    </w:p>
    <w:p w:rsidR="00402680" w:rsidRDefault="004713A5">
      <w:pPr>
        <w:adjustRightInd w:val="0"/>
        <w:snapToGrid w:val="0"/>
        <w:spacing w:line="560" w:lineRule="exact"/>
        <w:ind w:firstLineChars="200" w:firstLine="640"/>
        <w:outlineLvl w:val="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一、申报对象</w:t>
      </w:r>
    </w:p>
    <w:p w:rsidR="00402680" w:rsidRDefault="004713A5">
      <w:p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项目主要支持对象为自治区科研机构和高等院校、国家及自治区野外科学观（监）测台站、自治区重点实验室、自治区临床医学研究中心，适当向各地州科研机构和具备上述科研能力的事业单位延伸。</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hint="eastAsia"/>
          <w:color w:val="000000" w:themeColor="text1"/>
          <w:sz w:val="32"/>
          <w:szCs w:val="32"/>
        </w:rPr>
        <w:t>项目</w:t>
      </w:r>
      <w:r>
        <w:rPr>
          <w:rFonts w:ascii="方正仿宋_GBK" w:eastAsia="方正仿宋_GBK" w:hAnsi="宋体" w:cs="方正仿宋_GBK" w:hint="eastAsia"/>
          <w:bCs/>
          <w:color w:val="000000" w:themeColor="text1"/>
          <w:sz w:val="32"/>
          <w:szCs w:val="32"/>
        </w:rPr>
        <w:t>不接受个人申报；</w:t>
      </w:r>
      <w:r>
        <w:rPr>
          <w:rFonts w:ascii="方正仿宋_GBK" w:eastAsia="方正仿宋_GBK" w:hAnsi="宋体" w:hint="eastAsia"/>
          <w:color w:val="000000" w:themeColor="text1"/>
          <w:sz w:val="32"/>
          <w:szCs w:val="32"/>
        </w:rPr>
        <w:t>不接受行政机关单位申报</w:t>
      </w:r>
      <w:r>
        <w:rPr>
          <w:rFonts w:ascii="方正仿宋_GBK" w:eastAsia="方正仿宋_GBK" w:hAnsi="宋体" w:cs="方正仿宋_GBK" w:hint="eastAsia"/>
          <w:bCs/>
          <w:color w:val="000000" w:themeColor="text1"/>
          <w:sz w:val="32"/>
          <w:szCs w:val="32"/>
        </w:rPr>
        <w:t>。</w:t>
      </w:r>
    </w:p>
    <w:p w:rsidR="00402680" w:rsidRDefault="004713A5">
      <w:pPr>
        <w:adjustRightInd w:val="0"/>
        <w:snapToGrid w:val="0"/>
        <w:spacing w:line="560" w:lineRule="exact"/>
        <w:ind w:firstLineChars="200" w:firstLine="640"/>
        <w:outlineLvl w:val="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二、申报条件</w:t>
      </w:r>
    </w:p>
    <w:p w:rsidR="00402680" w:rsidRDefault="004713A5">
      <w:p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lang w:val="zh-CN"/>
        </w:rPr>
        <w:t>申报资源共享平台项目应具备以下基本条件：</w:t>
      </w:r>
    </w:p>
    <w:p w:rsidR="00402680" w:rsidRDefault="004713A5">
      <w:pPr>
        <w:numPr>
          <w:ilvl w:val="0"/>
          <w:numId w:val="1"/>
        </w:numPr>
        <w:adjustRightInd w:val="0"/>
        <w:snapToGrid w:val="0"/>
        <w:spacing w:line="560" w:lineRule="exact"/>
        <w:ind w:firstLineChars="200" w:firstLine="640"/>
        <w:rPr>
          <w:rFonts w:ascii="方正仿宋_GBK" w:eastAsia="方正仿宋_GBK" w:hAnsi="宋体"/>
          <w:color w:val="000000" w:themeColor="text1"/>
          <w:sz w:val="32"/>
          <w:szCs w:val="32"/>
          <w:lang w:val="zh-CN"/>
        </w:rPr>
      </w:pPr>
      <w:r>
        <w:rPr>
          <w:rFonts w:ascii="方正仿宋_GBK" w:eastAsia="方正仿宋_GBK" w:hAnsi="宋体" w:hint="eastAsia"/>
          <w:color w:val="000000" w:themeColor="text1"/>
          <w:sz w:val="32"/>
          <w:szCs w:val="32"/>
          <w:lang w:val="zh-CN"/>
        </w:rPr>
        <w:t>项目拥有较大体量的科技资源或特色资源，建立了符合资源特点的标准规范、质量控制体系和资源整合模式，在本专业领域或全区范围内具有一定影响力，具备较强的科技资源整合能力。</w:t>
      </w:r>
    </w:p>
    <w:p w:rsidR="00402680" w:rsidRDefault="004713A5">
      <w:pPr>
        <w:numPr>
          <w:ilvl w:val="0"/>
          <w:numId w:val="1"/>
        </w:num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lang w:val="zh-CN"/>
        </w:rPr>
        <w:t>科技资源按照国家标准进行标识，资源信息合格，更</w:t>
      </w:r>
      <w:r>
        <w:rPr>
          <w:rFonts w:ascii="方正仿宋_GBK" w:eastAsia="方正仿宋_GBK" w:hAnsi="宋体" w:hint="eastAsia"/>
          <w:color w:val="000000" w:themeColor="text1"/>
          <w:sz w:val="32"/>
          <w:szCs w:val="32"/>
          <w:lang w:val="zh-CN"/>
        </w:rPr>
        <w:lastRenderedPageBreak/>
        <w:t>新及时；共享服务的方向清晰、服务对象明确，建立符合资源特点的服务模式并能够开展服务活动，</w:t>
      </w:r>
      <w:r>
        <w:rPr>
          <w:rFonts w:ascii="方正仿宋_GBK" w:eastAsia="方正仿宋_GBK" w:hAnsi="宋体" w:hint="eastAsia"/>
          <w:color w:val="000000" w:themeColor="text1"/>
          <w:sz w:val="32"/>
          <w:szCs w:val="32"/>
        </w:rPr>
        <w:t>取得</w:t>
      </w:r>
      <w:r>
        <w:rPr>
          <w:rFonts w:ascii="方正仿宋_GBK" w:eastAsia="方正仿宋_GBK" w:hAnsi="宋体" w:hint="eastAsia"/>
          <w:color w:val="000000" w:themeColor="text1"/>
          <w:sz w:val="32"/>
          <w:szCs w:val="32"/>
          <w:lang w:val="zh-CN"/>
        </w:rPr>
        <w:t>良好服务效果。</w:t>
      </w:r>
    </w:p>
    <w:p w:rsidR="00402680" w:rsidRDefault="004713A5">
      <w:pPr>
        <w:numPr>
          <w:ilvl w:val="0"/>
          <w:numId w:val="1"/>
        </w:num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申报单位应当具有开展相关工作的基础设施、人才团队、管理能力和必要条件，拥有基本的共享资源，且有成型的平台体系，项目完成后，能够形成某一方面的资源共享体系，并实现资源社会共享。</w:t>
      </w:r>
    </w:p>
    <w:p w:rsidR="00402680" w:rsidRDefault="004713A5">
      <w:pPr>
        <w:numPr>
          <w:ilvl w:val="0"/>
          <w:numId w:val="1"/>
        </w:num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cs="方正仿宋_GBK" w:hint="eastAsia"/>
          <w:bCs/>
          <w:color w:val="000000" w:themeColor="text1"/>
          <w:sz w:val="32"/>
          <w:szCs w:val="32"/>
        </w:rPr>
        <w:t>申报的项目应具有较好的前期工作基础，目标明确，方案科学、合理、可行。项目负责人具有较高的专业水平（高级职称）和组织协调能力。</w:t>
      </w:r>
    </w:p>
    <w:p w:rsidR="00402680" w:rsidRDefault="004713A5">
      <w:pPr>
        <w:numPr>
          <w:ilvl w:val="0"/>
          <w:numId w:val="1"/>
        </w:num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体现军民融合的项目优先。</w:t>
      </w:r>
    </w:p>
    <w:p w:rsidR="00402680" w:rsidRDefault="004713A5">
      <w:pPr>
        <w:adjustRightInd w:val="0"/>
        <w:snapToGrid w:val="0"/>
        <w:spacing w:line="560" w:lineRule="exact"/>
        <w:ind w:firstLineChars="200" w:firstLine="640"/>
        <w:outlineLvl w:val="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三、支持方向</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1.重点支持构建同行业、同一领域或者同一产业链的大型仪器设备开放共享联盟，促进联盟间相互协作和资源整合，巩固“自治区科学仪器设备协作共用网”的建设，共同推动大型科学仪器设备面向全社会的资源共享。</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2.支持建立较完备的植物、动物种质资源，微生物菌种和人类遗传资源，以及实验材料标本、岩矿化石等自然科技资源的保护与利用体系；建设农业、林果业、家畜、牧草、药材、实验动物等方面动植物种质资源库（圃），以及微生物菌种库，完善其收集、保存和利用的手段和条件，增强支撑服务能力。</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3.支持在具有一定基础的科研平台，完善或配套相关领域的关键</w:t>
      </w:r>
      <w:r>
        <w:rPr>
          <w:rFonts w:ascii="方正仿宋_GBK" w:eastAsia="方正仿宋_GBK" w:hAnsi="宋体" w:hint="eastAsia"/>
          <w:color w:val="000000" w:themeColor="text1"/>
          <w:sz w:val="32"/>
          <w:szCs w:val="32"/>
          <w:lang w:val="zh-CN"/>
        </w:rPr>
        <w:t>科研设备设施，</w:t>
      </w:r>
      <w:r>
        <w:rPr>
          <w:rFonts w:ascii="方正仿宋_GBK" w:eastAsia="方正仿宋_GBK" w:hAnsi="宋体" w:cs="方正仿宋_GBK" w:hint="eastAsia"/>
          <w:bCs/>
          <w:color w:val="000000" w:themeColor="text1"/>
          <w:sz w:val="32"/>
          <w:szCs w:val="32"/>
        </w:rPr>
        <w:t>扩充与整合资源，提升与优化服务能力，改造平台运行条件等。</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lastRenderedPageBreak/>
        <w:t>4.支持建设和完善科学数据与信息共享平台，构建网络科研环境；建立以科技文献和科学数据与信息为一体的新疆科技文献共享服务体系，面向全社会提供服务。</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5.建设具有前瞻性、探索性的基础研究和应用基础研究共享平台，实现研究成果集成和共享。</w:t>
      </w:r>
    </w:p>
    <w:p w:rsidR="00402680" w:rsidRDefault="004713A5">
      <w:pPr>
        <w:adjustRightInd w:val="0"/>
        <w:snapToGrid w:val="0"/>
        <w:spacing w:line="560" w:lineRule="exact"/>
        <w:ind w:firstLineChars="200" w:firstLine="640"/>
        <w:outlineLvl w:val="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四、项目要求</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hint="eastAsia"/>
          <w:color w:val="000000" w:themeColor="text1"/>
          <w:sz w:val="32"/>
          <w:szCs w:val="32"/>
        </w:rPr>
        <w:t>1.平台项目要符合“整合共享、完善提高”的原则，符合项目申报指南内容，不支持单纯的研究项目、非科研基础</w:t>
      </w:r>
      <w:r>
        <w:rPr>
          <w:rFonts w:ascii="方正仿宋_GBK" w:eastAsia="方正仿宋_GBK" w:hAnsi="宋体" w:cs="方正仿宋_GBK" w:hint="eastAsia"/>
          <w:bCs/>
          <w:color w:val="000000" w:themeColor="text1"/>
          <w:sz w:val="32"/>
          <w:szCs w:val="32"/>
        </w:rPr>
        <w:t>设施的维修改造和工作条件的改善。</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2.平台财政支持</w:t>
      </w:r>
      <w:r>
        <w:rPr>
          <w:rFonts w:ascii="方正仿宋_GBK" w:eastAsia="方正仿宋_GBK" w:hAnsi="宋体" w:cs="方正仿宋_GBK"/>
          <w:bCs/>
          <w:color w:val="000000" w:themeColor="text1"/>
          <w:sz w:val="32"/>
          <w:szCs w:val="32"/>
        </w:rPr>
        <w:t>经费主要用于资源建设、仪器设备更新、日常运行维护等方面</w:t>
      </w:r>
      <w:r>
        <w:rPr>
          <w:rFonts w:ascii="方正仿宋_GBK" w:eastAsia="方正仿宋_GBK" w:hAnsi="宋体" w:cs="方正仿宋_GBK" w:hint="eastAsia"/>
          <w:bCs/>
          <w:color w:val="000000" w:themeColor="text1"/>
          <w:sz w:val="32"/>
          <w:szCs w:val="32"/>
        </w:rPr>
        <w:t>，财政支持经费用于设备费比例原则上不得低于40%</w:t>
      </w:r>
      <w:r>
        <w:rPr>
          <w:rFonts w:ascii="方正仿宋_GBK" w:eastAsia="方正仿宋_GBK" w:hAnsi="宋体" w:cs="方正仿宋_GBK"/>
          <w:bCs/>
          <w:color w:val="000000" w:themeColor="text1"/>
          <w:sz w:val="32"/>
          <w:szCs w:val="32"/>
        </w:rPr>
        <w:t>。</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3.执行平台项目要严格按照项目确定的目标和任务，科学合理地编制和安排项目经费预算，不得随意变更。项目经费应当纳入单位财务统一管理，单独核算，确保专款专用。</w:t>
      </w:r>
    </w:p>
    <w:p w:rsidR="00402680" w:rsidRDefault="004713A5">
      <w:pPr>
        <w:adjustRightInd w:val="0"/>
        <w:snapToGri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4.</w:t>
      </w:r>
      <w:r>
        <w:rPr>
          <w:rFonts w:ascii="方正仿宋_GBK" w:eastAsia="方正仿宋_GBK" w:hAnsi="宋体" w:cs="方正仿宋_GBK" w:hint="eastAsia"/>
          <w:bCs/>
          <w:color w:val="000000" w:themeColor="text1"/>
          <w:sz w:val="32"/>
          <w:szCs w:val="32"/>
        </w:rPr>
        <w:t>平台项目实施期限为2年，开始日期从2021年1月1日起，截至日期至2022年12月31日。</w:t>
      </w:r>
    </w:p>
    <w:p w:rsidR="00402680" w:rsidRDefault="004713A5">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r>
        <w:rPr>
          <w:rFonts w:ascii="方正仿宋_GBK" w:eastAsia="方正仿宋_GBK" w:hAnsi="宋体" w:cs="方正仿宋_GBK" w:hint="eastAsia"/>
          <w:bCs/>
          <w:color w:val="000000" w:themeColor="text1"/>
          <w:sz w:val="32"/>
          <w:szCs w:val="32"/>
        </w:rPr>
        <w:t>5.实际获得支持的财政科技经费未达到申报额度，不足经费由申报单位自行筹措解决。</w:t>
      </w:r>
    </w:p>
    <w:p w:rsidR="00402680" w:rsidRDefault="004713A5">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四、联系方式</w:t>
      </w:r>
      <w:bookmarkStart w:id="0" w:name="_GoBack"/>
      <w:bookmarkEnd w:id="0"/>
    </w:p>
    <w:p w:rsidR="00402680" w:rsidRDefault="004713A5">
      <w:pPr>
        <w:adjustRightInd w:val="0"/>
        <w:snapToGrid w:val="0"/>
        <w:spacing w:line="560" w:lineRule="exact"/>
        <w:ind w:firstLineChars="200" w:firstLine="644"/>
        <w:rPr>
          <w:rFonts w:ascii="方正仿宋_GBK" w:eastAsia="方正仿宋_GBK" w:hAnsi="宋体" w:cs="方正仿宋_GBK"/>
          <w:snapToGrid w:val="0"/>
          <w:spacing w:val="1"/>
          <w:sz w:val="32"/>
          <w:szCs w:val="32"/>
        </w:rPr>
      </w:pPr>
      <w:r>
        <w:rPr>
          <w:rFonts w:ascii="方正仿宋_GBK" w:eastAsia="方正仿宋_GBK" w:hAnsi="宋体" w:cs="方正仿宋_GBK" w:hint="eastAsia"/>
          <w:bCs/>
          <w:snapToGrid w:val="0"/>
          <w:spacing w:val="1"/>
          <w:sz w:val="32"/>
          <w:szCs w:val="32"/>
        </w:rPr>
        <w:t>管理处室：</w:t>
      </w:r>
      <w:r>
        <w:rPr>
          <w:rFonts w:ascii="方正仿宋_GBK" w:eastAsia="方正仿宋_GBK" w:hAnsi="宋体" w:cs="方正仿宋_GBK" w:hint="eastAsia"/>
          <w:snapToGrid w:val="0"/>
          <w:spacing w:val="1"/>
          <w:sz w:val="32"/>
          <w:szCs w:val="32"/>
        </w:rPr>
        <w:t>资源配置与管理处</w:t>
      </w:r>
    </w:p>
    <w:p w:rsidR="00402680" w:rsidRDefault="004713A5">
      <w:pPr>
        <w:adjustRightInd w:val="0"/>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bCs/>
          <w:sz w:val="32"/>
          <w:szCs w:val="32"/>
        </w:rPr>
        <w:t>联 系 人：郑晓青</w:t>
      </w:r>
      <w:r>
        <w:rPr>
          <w:rFonts w:ascii="方正仿宋_GBK" w:eastAsia="方正仿宋_GBK" w:hAnsi="宋体" w:hint="eastAsia"/>
          <w:sz w:val="32"/>
          <w:szCs w:val="32"/>
        </w:rPr>
        <w:t xml:space="preserve">   张磊</w:t>
      </w:r>
    </w:p>
    <w:p w:rsidR="00402680" w:rsidRDefault="004713A5">
      <w:pPr>
        <w:adjustRightInd w:val="0"/>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bCs/>
          <w:sz w:val="32"/>
          <w:szCs w:val="32"/>
        </w:rPr>
        <w:t>联系电话：</w:t>
      </w:r>
      <w:r>
        <w:rPr>
          <w:rFonts w:ascii="方正仿宋_GBK" w:eastAsia="方正仿宋_GBK" w:hAnsi="宋体" w:hint="eastAsia"/>
          <w:sz w:val="32"/>
          <w:szCs w:val="32"/>
        </w:rPr>
        <w:t>0991-3836149</w:t>
      </w:r>
    </w:p>
    <w:p w:rsidR="00402680" w:rsidRDefault="00402680"/>
    <w:p w:rsidR="00402680" w:rsidRDefault="00402680">
      <w:pPr>
        <w:adjustRightInd w:val="0"/>
        <w:snapToGrid w:val="0"/>
        <w:spacing w:line="560" w:lineRule="exact"/>
        <w:ind w:firstLineChars="200" w:firstLine="640"/>
        <w:rPr>
          <w:rFonts w:ascii="方正仿宋_GBK" w:eastAsia="方正仿宋_GBK" w:hAnsi="宋体" w:cs="方正仿宋_GBK"/>
          <w:bCs/>
          <w:color w:val="000000" w:themeColor="text1"/>
          <w:sz w:val="32"/>
          <w:szCs w:val="32"/>
        </w:rPr>
      </w:pPr>
    </w:p>
    <w:sectPr w:rsidR="00402680" w:rsidSect="00402680">
      <w:footerReference w:type="default" r:id="rId8"/>
      <w:pgSz w:w="11906" w:h="16838"/>
      <w:pgMar w:top="1327" w:right="1800" w:bottom="132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B2B" w:rsidRDefault="00765B2B" w:rsidP="00402680">
      <w:r>
        <w:separator/>
      </w:r>
    </w:p>
  </w:endnote>
  <w:endnote w:type="continuationSeparator" w:id="1">
    <w:p w:rsidR="00765B2B" w:rsidRDefault="00765B2B" w:rsidP="00402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620"/>
      <w:docPartObj>
        <w:docPartGallery w:val="Page Numbers (Bottom of Page)"/>
        <w:docPartUnique/>
      </w:docPartObj>
    </w:sdtPr>
    <w:sdtContent>
      <w:p w:rsidR="00162BF3" w:rsidRDefault="005A4878">
        <w:pPr>
          <w:pStyle w:val="a3"/>
          <w:jc w:val="center"/>
        </w:pPr>
        <w:fldSimple w:instr=" PAGE   \* MERGEFORMAT ">
          <w:r w:rsidR="0092546A" w:rsidRPr="0092546A">
            <w:rPr>
              <w:noProof/>
              <w:lang w:val="zh-CN"/>
            </w:rPr>
            <w:t>1</w:t>
          </w:r>
        </w:fldSimple>
      </w:p>
    </w:sdtContent>
  </w:sdt>
  <w:p w:rsidR="00402680" w:rsidRDefault="004026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B2B" w:rsidRDefault="00765B2B" w:rsidP="00402680">
      <w:r>
        <w:separator/>
      </w:r>
    </w:p>
  </w:footnote>
  <w:footnote w:type="continuationSeparator" w:id="1">
    <w:p w:rsidR="00765B2B" w:rsidRDefault="00765B2B" w:rsidP="00402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68318"/>
    <w:multiLevelType w:val="singleLevel"/>
    <w:tmpl w:val="82B6831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62BF3"/>
    <w:rsid w:val="00172A27"/>
    <w:rsid w:val="001E42E2"/>
    <w:rsid w:val="002D2D4D"/>
    <w:rsid w:val="00402680"/>
    <w:rsid w:val="004713A5"/>
    <w:rsid w:val="005A4878"/>
    <w:rsid w:val="00765B2B"/>
    <w:rsid w:val="0092546A"/>
    <w:rsid w:val="00C933FF"/>
    <w:rsid w:val="00D575FE"/>
    <w:rsid w:val="03DE53E0"/>
    <w:rsid w:val="06FF4484"/>
    <w:rsid w:val="07D763AA"/>
    <w:rsid w:val="0D8B77C4"/>
    <w:rsid w:val="0F914B63"/>
    <w:rsid w:val="10A80EB7"/>
    <w:rsid w:val="130C1927"/>
    <w:rsid w:val="13CD04EB"/>
    <w:rsid w:val="16A97BD5"/>
    <w:rsid w:val="17E14580"/>
    <w:rsid w:val="1A774D40"/>
    <w:rsid w:val="1AC75EFD"/>
    <w:rsid w:val="1D5B35A8"/>
    <w:rsid w:val="1E323ED6"/>
    <w:rsid w:val="1ECA535D"/>
    <w:rsid w:val="1EF3206D"/>
    <w:rsid w:val="1FEB2879"/>
    <w:rsid w:val="23BA79ED"/>
    <w:rsid w:val="2482394A"/>
    <w:rsid w:val="253C4980"/>
    <w:rsid w:val="2660122E"/>
    <w:rsid w:val="27C12C7D"/>
    <w:rsid w:val="287E629F"/>
    <w:rsid w:val="288847EE"/>
    <w:rsid w:val="2F9A5499"/>
    <w:rsid w:val="32203090"/>
    <w:rsid w:val="32966D7E"/>
    <w:rsid w:val="32DF59FD"/>
    <w:rsid w:val="32F018C6"/>
    <w:rsid w:val="34DD1A49"/>
    <w:rsid w:val="34E11FF8"/>
    <w:rsid w:val="3553070C"/>
    <w:rsid w:val="381D294A"/>
    <w:rsid w:val="3A643DC9"/>
    <w:rsid w:val="3C446E72"/>
    <w:rsid w:val="3CA951AC"/>
    <w:rsid w:val="3E2240D4"/>
    <w:rsid w:val="3FC23523"/>
    <w:rsid w:val="406456BF"/>
    <w:rsid w:val="41F60D1C"/>
    <w:rsid w:val="42DA75F0"/>
    <w:rsid w:val="4C8606A8"/>
    <w:rsid w:val="4D022E63"/>
    <w:rsid w:val="4F991987"/>
    <w:rsid w:val="516735EF"/>
    <w:rsid w:val="521576FD"/>
    <w:rsid w:val="566B5F9B"/>
    <w:rsid w:val="58217B16"/>
    <w:rsid w:val="583B0C29"/>
    <w:rsid w:val="59975407"/>
    <w:rsid w:val="59CB5437"/>
    <w:rsid w:val="5B792746"/>
    <w:rsid w:val="5F3212DA"/>
    <w:rsid w:val="61066050"/>
    <w:rsid w:val="6305562B"/>
    <w:rsid w:val="63E14645"/>
    <w:rsid w:val="64DA1B73"/>
    <w:rsid w:val="65143C34"/>
    <w:rsid w:val="666655F5"/>
    <w:rsid w:val="68652D24"/>
    <w:rsid w:val="689F0E78"/>
    <w:rsid w:val="6A1F6C88"/>
    <w:rsid w:val="6BEB225A"/>
    <w:rsid w:val="6D1E6C8C"/>
    <w:rsid w:val="6E605DC3"/>
    <w:rsid w:val="6F8D6D8A"/>
    <w:rsid w:val="745317AF"/>
    <w:rsid w:val="78230949"/>
    <w:rsid w:val="78FD79BC"/>
    <w:rsid w:val="7B8A778F"/>
    <w:rsid w:val="7CE218B4"/>
    <w:rsid w:val="7F30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68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02680"/>
    <w:pPr>
      <w:tabs>
        <w:tab w:val="center" w:pos="4153"/>
        <w:tab w:val="right" w:pos="8306"/>
      </w:tabs>
      <w:snapToGrid w:val="0"/>
      <w:jc w:val="left"/>
    </w:pPr>
    <w:rPr>
      <w:sz w:val="18"/>
    </w:rPr>
  </w:style>
  <w:style w:type="paragraph" w:styleId="a4">
    <w:name w:val="header"/>
    <w:basedOn w:val="a"/>
    <w:qFormat/>
    <w:rsid w:val="004026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02680"/>
    <w:rPr>
      <w:sz w:val="24"/>
    </w:rPr>
  </w:style>
  <w:style w:type="character" w:customStyle="1" w:styleId="Char">
    <w:name w:val="页脚 Char"/>
    <w:link w:val="a3"/>
    <w:uiPriority w:val="99"/>
    <w:rsid w:val="00162BF3"/>
    <w:rPr>
      <w:rFonts w:ascii="Calibri" w:hAnsi="Calibri" w:cs="Calibri"/>
      <w:kern w:val="2"/>
      <w:sz w:val="1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1225</Characters>
  <Application>Microsoft Office Word</Application>
  <DocSecurity>0</DocSecurity>
  <Lines>10</Lines>
  <Paragraphs>2</Paragraphs>
  <ScaleCrop>false</ScaleCrop>
  <Company>Micorosoft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Micorosoft</cp:lastModifiedBy>
  <cp:revision>4</cp:revision>
  <cp:lastPrinted>2021-02-05T02:04:00Z</cp:lastPrinted>
  <dcterms:created xsi:type="dcterms:W3CDTF">2021-02-09T10:56:00Z</dcterms:created>
  <dcterms:modified xsi:type="dcterms:W3CDTF">2021-02-10T08:30:00Z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539580877_cloud</vt:lpwstr>
  </property>
</Properties>
</file>