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36"/>
          <w:szCs w:val="36"/>
        </w:rPr>
        <w:t>第二十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届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“农高会”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线上参展材料标准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4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40" w:rightChars="0" w:firstLine="64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第二十七届“农高会”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新疆展团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线上入驻由自治区科技厅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安排专人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统一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参展单位、企业提供</w:t>
      </w:r>
      <w:r>
        <w:rPr>
          <w:rFonts w:hint="eastAsia" w:ascii="仿宋" w:hAnsi="仿宋" w:eastAsia="仿宋" w:cs="仿宋"/>
          <w:sz w:val="32"/>
          <w:szCs w:val="32"/>
        </w:rPr>
        <w:t>的展品信息，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经自治区科技厅筛选、审核后报“农高会”组委会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统一上传所需信息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完成展品的录入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线上布展、推广等活动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报送材料内容和要求如下：</w:t>
      </w:r>
    </w:p>
    <w:tbl>
      <w:tblPr>
        <w:tblStyle w:val="4"/>
        <w:tblpPr w:leftFromText="180" w:rightFromText="180" w:vertAnchor="text" w:horzAnchor="page" w:tblpX="855" w:tblpY="313"/>
        <w:tblW w:w="106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535"/>
        <w:gridCol w:w="840"/>
        <w:gridCol w:w="2100"/>
        <w:gridCol w:w="1305"/>
        <w:gridCol w:w="1725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模块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尺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分辨率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规  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格式</w:t>
            </w:r>
          </w:p>
          <w:p>
            <w:pPr>
              <w:spacing w:line="276" w:lineRule="auto"/>
              <w:ind w:right="24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bidi="ar"/>
              </w:rPr>
              <w:t>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展品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管理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24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展品图片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800*800px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72dpi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1M以内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jpg/png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24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图片（宣传视频制作素材）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1280*960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px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dpi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M以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jpg/png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24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展品信息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/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/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200字以内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24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展品资料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（生产商名称、简介、展品详细说明、地址、联系方式等）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/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/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20M以内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PDF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24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展品封面视频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 w:bidi="ar"/>
              </w:rPr>
              <w:t>（可选）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16:9或4:3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72dpi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20M以内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30s以内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24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MP4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备注：1.为了保障线上展品效果，各参展单位、企业展品信息以图片为主。</w:t>
      </w:r>
      <w:r>
        <w:rPr>
          <w:rFonts w:hint="eastAsia" w:ascii="仿宋" w:hAnsi="仿宋" w:eastAsia="仿宋" w:cs="仿宋"/>
          <w:sz w:val="32"/>
          <w:szCs w:val="32"/>
        </w:rPr>
        <w:t>同时需提交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单位、</w:t>
      </w:r>
      <w:r>
        <w:rPr>
          <w:rFonts w:hint="eastAsia" w:ascii="仿宋" w:hAnsi="仿宋" w:eastAsia="仿宋" w:cs="仿宋"/>
          <w:sz w:val="32"/>
          <w:szCs w:val="32"/>
        </w:rPr>
        <w:t>公司法人营业执照、产品生产经营许可证等材料，并加盖公章，否则不予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参展单位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需保证所填写的参展内容真实，如有不符，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自治区科技厅及“农高会”组委会展览部</w:t>
      </w:r>
      <w:r>
        <w:rPr>
          <w:rFonts w:hint="eastAsia" w:ascii="仿宋" w:hAnsi="仿宋" w:eastAsia="仿宋" w:cs="仿宋"/>
          <w:sz w:val="32"/>
          <w:szCs w:val="32"/>
        </w:rPr>
        <w:t>有权进行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清理，并保留对清理展位的处理权力。</w:t>
      </w:r>
    </w:p>
    <w:p>
      <w:pPr/>
    </w:p>
    <w:sectPr>
      <w:pgSz w:w="11906" w:h="16838"/>
      <w:pgMar w:top="1440" w:right="1803" w:bottom="1440" w:left="180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50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(PCL6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.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decorative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roman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modern"/>
    <w:pitch w:val="default"/>
    <w:sig w:usb0="00000000" w:usb1="00000000" w:usb2="00000017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行书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56AA7"/>
    <w:rsid w:val="5D056A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200" w:firstLineChars="200"/>
      <w:outlineLvl w:val="2"/>
    </w:pPr>
    <w:rPr>
      <w:rFonts w:ascii="Calibri" w:hAnsi="Calibri"/>
      <w:b/>
      <w:kern w:val="0"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2020-09-17T10:26:00Z</dcterms:created>
  <dc:creator>Administrator</dc:creator>
  <cp:lastModifiedBy>Administrator</cp:lastModifiedBy>
  <dcterms:modified xsi:type="dcterms:W3CDTF">2020-09-17T10:27:00Z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